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line="360" w:lineRule="auto"/>
        <w:rPr>
          <w:rFonts w:ascii="黑体" w:hAnsi="黑体" w:cs="黑体"/>
          <w:color w:val="000000"/>
          <w:sz w:val="32"/>
          <w:szCs w:val="32"/>
        </w:rPr>
      </w:pPr>
      <w:bookmarkStart w:id="0" w:name="_Toc240515429"/>
      <w:bookmarkStart w:id="1" w:name="_Toc240381072"/>
      <w:bookmarkStart w:id="2" w:name="_Toc297882104"/>
      <w:r>
        <w:rPr>
          <w:rFonts w:hint="eastAsia" w:ascii="黑体" w:hAnsi="黑体" w:cs="黑体"/>
          <w:color w:val="000000"/>
          <w:sz w:val="32"/>
          <w:szCs w:val="32"/>
        </w:rPr>
        <w:t>紧缺矿产资源勘查协同创新中心</w:t>
      </w:r>
    </w:p>
    <w:p>
      <w:pPr>
        <w:pStyle w:val="2"/>
        <w:spacing w:line="360" w:lineRule="auto"/>
        <w:rPr>
          <w:rFonts w:ascii="黑体" w:hAnsi="黑体" w:cs="黑体"/>
          <w:color w:val="000000"/>
          <w:sz w:val="32"/>
          <w:szCs w:val="32"/>
        </w:rPr>
      </w:pPr>
      <w:r>
        <w:rPr>
          <w:rFonts w:hint="eastAsia" w:ascii="黑体" w:hAnsi="黑体" w:cs="黑体"/>
          <w:color w:val="000000"/>
          <w:sz w:val="32"/>
          <w:szCs w:val="32"/>
        </w:rPr>
        <w:t>“</w:t>
      </w:r>
      <w:r>
        <w:rPr>
          <w:color w:val="000000"/>
          <w:sz w:val="32"/>
          <w:szCs w:val="32"/>
        </w:rPr>
        <w:t>CUG学子</w:t>
      </w:r>
      <w:r>
        <w:rPr>
          <w:rFonts w:hint="eastAsia" w:ascii="黑体" w:hAnsi="黑体" w:cs="黑体"/>
          <w:color w:val="000000"/>
          <w:sz w:val="32"/>
          <w:szCs w:val="32"/>
        </w:rPr>
        <w:t>”优秀成果奖励</w:t>
      </w:r>
      <w:bookmarkEnd w:id="0"/>
      <w:bookmarkEnd w:id="1"/>
      <w:bookmarkEnd w:id="2"/>
      <w:r>
        <w:rPr>
          <w:rFonts w:hint="eastAsia" w:ascii="黑体" w:hAnsi="黑体" w:cs="黑体"/>
          <w:color w:val="000000"/>
          <w:sz w:val="32"/>
          <w:szCs w:val="32"/>
        </w:rPr>
        <w:t>暂行管理办法</w:t>
      </w:r>
    </w:p>
    <w:p>
      <w:pPr>
        <w:spacing w:beforeLines="50" w:afterLines="50" w:line="360" w:lineRule="auto"/>
        <w:rPr>
          <w:rFonts w:ascii="黑体" w:hAnsi="黑体" w:eastAsia="黑体" w:cs="黑体"/>
          <w:b/>
          <w:color w:val="000000"/>
          <w:sz w:val="24"/>
        </w:rPr>
      </w:pPr>
      <w:r>
        <w:rPr>
          <w:rFonts w:hint="eastAsia" w:ascii="黑体" w:hAnsi="黑体" w:eastAsia="黑体" w:cs="黑体"/>
          <w:b/>
          <w:color w:val="000000"/>
          <w:sz w:val="24"/>
        </w:rPr>
        <w:t>一、奖项说明</w:t>
      </w:r>
    </w:p>
    <w:p>
      <w:pPr>
        <w:spacing w:line="360" w:lineRule="auto"/>
        <w:ind w:firstLine="480"/>
        <w:rPr>
          <w:rFonts w:ascii="黑体" w:hAnsi="黑体" w:eastAsia="黑体" w:cs="黑体"/>
          <w:b/>
          <w:color w:val="000000"/>
          <w:sz w:val="24"/>
        </w:rPr>
      </w:pPr>
      <w:r>
        <w:rPr>
          <w:rFonts w:hint="eastAsia" w:ascii="黑体" w:hAnsi="黑体" w:eastAsia="黑体" w:cs="黑体"/>
          <w:b/>
          <w:color w:val="000000"/>
          <w:sz w:val="24"/>
        </w:rPr>
        <w:t>为了进一步促进与我校紧缺矿产资源勘查协同创新中心相关的优势学科拔尖人才培养工作，提高研究生教育教学质量，加强研究生创新精神和创新能力的培养，鼓励研究生在校期间勤奋学习，刻苦钻研，勇于创新，多出成果，出好成果，特实施此奖励。</w:t>
      </w:r>
    </w:p>
    <w:p>
      <w:pPr>
        <w:widowControl/>
        <w:spacing w:line="360" w:lineRule="auto"/>
        <w:jc w:val="left"/>
        <w:rPr>
          <w:rFonts w:ascii="黑体" w:hAnsi="黑体" w:eastAsia="黑体" w:cs="黑体"/>
          <w:b/>
          <w:color w:val="000000"/>
          <w:sz w:val="24"/>
        </w:rPr>
      </w:pPr>
      <w:r>
        <w:rPr>
          <w:rFonts w:hint="eastAsia" w:ascii="黑体" w:hAnsi="黑体" w:eastAsia="黑体" w:cs="黑体"/>
          <w:b/>
          <w:color w:val="000000"/>
          <w:sz w:val="24"/>
        </w:rPr>
        <w:t>二、申报要求</w:t>
      </w:r>
    </w:p>
    <w:p>
      <w:pPr>
        <w:widowControl/>
        <w:spacing w:line="360" w:lineRule="auto"/>
        <w:jc w:val="left"/>
        <w:rPr>
          <w:rFonts w:ascii="黑体" w:hAnsi="黑体" w:eastAsia="黑体" w:cs="黑体"/>
          <w:b/>
          <w:color w:val="000000"/>
          <w:sz w:val="24"/>
        </w:rPr>
      </w:pPr>
      <w:r>
        <w:rPr>
          <w:rFonts w:hint="eastAsia" w:ascii="黑体" w:hAnsi="黑体" w:eastAsia="黑体" w:cs="黑体"/>
          <w:b/>
          <w:color w:val="000000"/>
          <w:sz w:val="24"/>
        </w:rPr>
        <w:t>（一）基础条件</w:t>
      </w:r>
    </w:p>
    <w:p>
      <w:pPr>
        <w:pStyle w:val="19"/>
        <w:numPr>
          <w:ilvl w:val="0"/>
          <w:numId w:val="1"/>
        </w:numPr>
        <w:spacing w:line="360" w:lineRule="auto"/>
        <w:ind w:firstLineChars="0"/>
        <w:rPr>
          <w:rFonts w:ascii="黑体" w:hAnsi="黑体" w:eastAsia="黑体" w:cs="黑体"/>
          <w:b/>
          <w:color w:val="000000"/>
          <w:sz w:val="24"/>
        </w:rPr>
      </w:pPr>
      <w:r>
        <w:rPr>
          <w:rFonts w:hint="eastAsia" w:ascii="黑体" w:hAnsi="黑体" w:eastAsia="黑体" w:cs="黑体"/>
          <w:b/>
          <w:color w:val="000000"/>
          <w:sz w:val="24"/>
        </w:rPr>
        <w:t>参加评奖的科研成果必须是公开发表或出版的与学科紧密相关的学术论文、发明专利、获得省部级以上奖励等成果（须有证书），找矿成果需要生产单位出具的效益证明和导师对研究生实际贡献的评价；增刊、专刊、专辑、论文集论文以及论文摘要、通讯、书评、会议综述均不在奖励范围之内。</w:t>
      </w:r>
    </w:p>
    <w:p>
      <w:pPr>
        <w:pStyle w:val="19"/>
        <w:numPr>
          <w:ilvl w:val="0"/>
          <w:numId w:val="1"/>
        </w:numPr>
        <w:spacing w:line="360" w:lineRule="auto"/>
        <w:ind w:firstLineChars="0"/>
        <w:rPr>
          <w:rFonts w:ascii="黑体" w:hAnsi="黑体" w:eastAsia="黑体" w:cs="黑体"/>
          <w:b/>
          <w:color w:val="000000"/>
          <w:sz w:val="24"/>
        </w:rPr>
      </w:pPr>
      <w:r>
        <w:rPr>
          <w:rFonts w:hint="eastAsia" w:ascii="黑体" w:hAnsi="黑体" w:eastAsia="黑体" w:cs="黑体"/>
          <w:b/>
          <w:color w:val="000000"/>
          <w:sz w:val="24"/>
        </w:rPr>
        <w:t>同一篇论文以最高级别只奖励一次。</w:t>
      </w:r>
    </w:p>
    <w:p>
      <w:pPr>
        <w:pStyle w:val="19"/>
        <w:numPr>
          <w:ilvl w:val="0"/>
          <w:numId w:val="1"/>
        </w:numPr>
        <w:spacing w:line="360" w:lineRule="auto"/>
        <w:ind w:firstLineChars="0"/>
        <w:rPr>
          <w:rFonts w:ascii="黑体" w:hAnsi="黑体" w:eastAsia="黑体" w:cs="黑体"/>
          <w:b/>
          <w:color w:val="000000"/>
          <w:sz w:val="24"/>
        </w:rPr>
      </w:pPr>
      <w:r>
        <w:rPr>
          <w:rFonts w:hint="eastAsia" w:ascii="黑体" w:hAnsi="黑体" w:eastAsia="黑体" w:cs="黑体"/>
          <w:b/>
          <w:color w:val="000000"/>
          <w:sz w:val="24"/>
        </w:rPr>
        <w:t>研究生必须是参评科研成果的第一完成人（第一作者）。</w:t>
      </w:r>
    </w:p>
    <w:p>
      <w:pPr>
        <w:pStyle w:val="19"/>
        <w:numPr>
          <w:ilvl w:val="0"/>
          <w:numId w:val="1"/>
        </w:numPr>
        <w:spacing w:line="360" w:lineRule="auto"/>
        <w:ind w:firstLineChars="0"/>
        <w:rPr>
          <w:rFonts w:ascii="黑体" w:hAnsi="黑体" w:eastAsia="黑体" w:cs="黑体"/>
          <w:b/>
          <w:color w:val="000000"/>
          <w:sz w:val="24"/>
        </w:rPr>
      </w:pPr>
      <w:r>
        <w:rPr>
          <w:rFonts w:hint="eastAsia" w:ascii="黑体" w:hAnsi="黑体" w:eastAsia="黑体" w:cs="黑体"/>
          <w:b/>
          <w:color w:val="000000"/>
          <w:sz w:val="24"/>
        </w:rPr>
        <w:t>各项科研成果第一署名单位必须是“中国地质大学”（署名“紧缺矿产资源勘查协同创新中心”的成果优先，</w:t>
      </w:r>
      <w:r>
        <w:rPr>
          <w:rFonts w:ascii="黑体" w:hAnsi="黑体" w:eastAsia="黑体" w:cs="黑体"/>
          <w:b/>
          <w:color w:val="000000"/>
          <w:sz w:val="24"/>
        </w:rPr>
        <w:t>1-2年</w:t>
      </w:r>
      <w:r>
        <w:rPr>
          <w:rFonts w:hint="eastAsia" w:ascii="黑体" w:hAnsi="黑体" w:eastAsia="黑体" w:cs="黑体"/>
          <w:b/>
          <w:color w:val="000000"/>
          <w:sz w:val="24"/>
        </w:rPr>
        <w:t>后将逐步转为仅考虑署名为本中心的优秀成果）</w:t>
      </w:r>
    </w:p>
    <w:p>
      <w:pPr>
        <w:pStyle w:val="19"/>
        <w:numPr>
          <w:ilvl w:val="0"/>
          <w:numId w:val="1"/>
        </w:numPr>
        <w:spacing w:line="360" w:lineRule="auto"/>
        <w:ind w:firstLineChars="0"/>
        <w:rPr>
          <w:rFonts w:ascii="黑体" w:hAnsi="黑体" w:eastAsia="黑体" w:cs="黑体"/>
          <w:b/>
          <w:color w:val="000000"/>
          <w:sz w:val="24"/>
        </w:rPr>
      </w:pPr>
      <w:r>
        <w:rPr>
          <w:rFonts w:hint="eastAsia" w:ascii="黑体" w:hAnsi="黑体" w:eastAsia="黑体" w:cs="黑体"/>
          <w:b/>
          <w:color w:val="000000"/>
          <w:sz w:val="24"/>
        </w:rPr>
        <w:t>凡参评年度有下列情况之一者，均不具备评定资格：</w:t>
      </w:r>
    </w:p>
    <w:p>
      <w:pPr>
        <w:pStyle w:val="19"/>
        <w:numPr>
          <w:ilvl w:val="1"/>
          <w:numId w:val="1"/>
        </w:numPr>
        <w:spacing w:line="360" w:lineRule="auto"/>
        <w:ind w:firstLineChars="0"/>
        <w:rPr>
          <w:rFonts w:ascii="黑体" w:hAnsi="黑体" w:eastAsia="黑体" w:cs="黑体"/>
          <w:b/>
          <w:color w:val="000000"/>
          <w:sz w:val="24"/>
        </w:rPr>
      </w:pPr>
      <w:r>
        <w:rPr>
          <w:rFonts w:hint="eastAsia" w:ascii="黑体" w:hAnsi="黑体" w:eastAsia="黑体" w:cs="黑体"/>
          <w:b/>
          <w:color w:val="000000"/>
          <w:sz w:val="24"/>
        </w:rPr>
        <w:t>受到各类处分者；</w:t>
      </w:r>
    </w:p>
    <w:p>
      <w:pPr>
        <w:pStyle w:val="19"/>
        <w:numPr>
          <w:ilvl w:val="1"/>
          <w:numId w:val="1"/>
        </w:numPr>
        <w:spacing w:line="360" w:lineRule="auto"/>
        <w:ind w:firstLineChars="0"/>
        <w:rPr>
          <w:rFonts w:ascii="黑体" w:hAnsi="黑体" w:eastAsia="黑体" w:cs="黑体"/>
          <w:b/>
          <w:color w:val="000000"/>
          <w:sz w:val="24"/>
        </w:rPr>
      </w:pPr>
      <w:r>
        <w:rPr>
          <w:rFonts w:hint="eastAsia" w:ascii="黑体" w:hAnsi="黑体" w:eastAsia="黑体" w:cs="黑体"/>
          <w:b/>
          <w:color w:val="000000"/>
          <w:sz w:val="24"/>
        </w:rPr>
        <w:t>其他违反校纪校规的行为者。</w:t>
      </w:r>
    </w:p>
    <w:p>
      <w:pPr>
        <w:widowControl/>
        <w:spacing w:line="360" w:lineRule="auto"/>
        <w:jc w:val="left"/>
        <w:rPr>
          <w:rFonts w:ascii="黑体" w:hAnsi="黑体" w:eastAsia="黑体" w:cs="黑体"/>
          <w:b/>
          <w:color w:val="000000"/>
          <w:sz w:val="24"/>
        </w:rPr>
      </w:pPr>
      <w:r>
        <w:rPr>
          <w:rFonts w:hint="eastAsia" w:ascii="黑体" w:hAnsi="黑体" w:eastAsia="黑体" w:cs="黑体"/>
          <w:b/>
          <w:color w:val="000000"/>
          <w:sz w:val="24"/>
        </w:rPr>
        <w:t>（二）申报名额及奖励</w:t>
      </w:r>
    </w:p>
    <w:p>
      <w:pPr>
        <w:widowControl/>
        <w:spacing w:line="360" w:lineRule="auto"/>
        <w:ind w:firstLine="360" w:firstLineChars="150"/>
        <w:jc w:val="left"/>
        <w:rPr>
          <w:rFonts w:ascii="黑体" w:hAnsi="黑体" w:eastAsia="黑体" w:cs="黑体"/>
          <w:b/>
          <w:color w:val="000000"/>
          <w:sz w:val="24"/>
        </w:rPr>
      </w:pPr>
      <w:r>
        <w:rPr>
          <w:rFonts w:hint="eastAsia" w:ascii="黑体" w:hAnsi="黑体" w:eastAsia="黑体" w:cs="黑体"/>
          <w:b/>
          <w:color w:val="000000"/>
          <w:sz w:val="24"/>
        </w:rPr>
        <w:t>1.  研究生自愿申报，各培养单位推荐出最优秀的研究生参评，一等奖2名；二等奖10名；三等奖（或专利成果奖）20名。</w:t>
      </w:r>
    </w:p>
    <w:p>
      <w:pPr>
        <w:spacing w:beforeLines="50" w:afterLines="50" w:line="360" w:lineRule="auto"/>
        <w:ind w:firstLine="360" w:firstLineChars="150"/>
        <w:rPr>
          <w:rFonts w:ascii="黑体" w:hAnsi="黑体" w:eastAsia="黑体" w:cs="黑体"/>
          <w:b/>
          <w:color w:val="000000"/>
          <w:sz w:val="24"/>
        </w:rPr>
      </w:pPr>
      <w:r>
        <w:rPr>
          <w:rFonts w:hint="eastAsia" w:ascii="黑体" w:hAnsi="黑体" w:eastAsia="黑体" w:cs="黑体"/>
          <w:b/>
          <w:color w:val="000000"/>
          <w:sz w:val="24"/>
        </w:rPr>
        <w:t>2.  奖励名额及金额分配</w:t>
      </w:r>
    </w:p>
    <w:tbl>
      <w:tblPr>
        <w:tblStyle w:val="13"/>
        <w:tblW w:w="85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701"/>
        <w:gridCol w:w="1757"/>
        <w:gridCol w:w="21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2943" w:type="dxa"/>
            <w:vMerge w:val="restart"/>
            <w:vAlign w:val="center"/>
          </w:tcPr>
          <w:p>
            <w:pPr>
              <w:spacing w:line="360" w:lineRule="auto"/>
              <w:jc w:val="center"/>
              <w:rPr>
                <w:rFonts w:ascii="黑体" w:hAnsi="黑体" w:eastAsia="黑体" w:cs="黑体"/>
                <w:b/>
                <w:color w:val="000000"/>
                <w:sz w:val="24"/>
              </w:rPr>
            </w:pPr>
            <w:r>
              <w:rPr>
                <w:rFonts w:hint="eastAsia" w:ascii="黑体" w:hAnsi="黑体" w:eastAsia="黑体" w:cs="黑体"/>
                <w:b/>
                <w:color w:val="000000"/>
                <w:sz w:val="24"/>
              </w:rPr>
              <w:t>论文等级</w:t>
            </w:r>
          </w:p>
        </w:tc>
        <w:tc>
          <w:tcPr>
            <w:tcW w:w="5579" w:type="dxa"/>
            <w:gridSpan w:val="3"/>
            <w:vAlign w:val="center"/>
          </w:tcPr>
          <w:p>
            <w:pPr>
              <w:spacing w:line="360" w:lineRule="auto"/>
              <w:jc w:val="center"/>
              <w:rPr>
                <w:rFonts w:ascii="黑体" w:hAnsi="黑体" w:eastAsia="黑体" w:cs="黑体"/>
                <w:b/>
                <w:color w:val="000000"/>
                <w:sz w:val="24"/>
              </w:rPr>
            </w:pPr>
            <w:r>
              <w:rPr>
                <w:rFonts w:hint="eastAsia" w:ascii="黑体" w:hAnsi="黑体" w:eastAsia="黑体" w:cs="黑体"/>
                <w:b/>
                <w:color w:val="000000"/>
                <w:sz w:val="24"/>
              </w:rPr>
              <w:t>研究生成果奖励设置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2943" w:type="dxa"/>
            <w:vMerge w:val="continue"/>
            <w:vAlign w:val="center"/>
          </w:tcPr>
          <w:p>
            <w:pPr>
              <w:spacing w:line="360" w:lineRule="auto"/>
              <w:jc w:val="center"/>
              <w:rPr>
                <w:rFonts w:ascii="黑体" w:hAnsi="黑体" w:eastAsia="黑体" w:cs="黑体"/>
                <w:b/>
                <w:color w:val="000000"/>
                <w:sz w:val="24"/>
              </w:rPr>
            </w:pPr>
          </w:p>
        </w:tc>
        <w:tc>
          <w:tcPr>
            <w:tcW w:w="1701" w:type="dxa"/>
            <w:vAlign w:val="center"/>
          </w:tcPr>
          <w:p>
            <w:pPr>
              <w:spacing w:line="360" w:lineRule="auto"/>
              <w:jc w:val="center"/>
              <w:rPr>
                <w:rFonts w:ascii="黑体" w:hAnsi="黑体" w:eastAsia="黑体" w:cs="黑体"/>
                <w:b/>
                <w:color w:val="000000"/>
                <w:sz w:val="24"/>
              </w:rPr>
            </w:pPr>
            <w:r>
              <w:rPr>
                <w:rFonts w:hint="eastAsia" w:ascii="黑体" w:hAnsi="黑体" w:eastAsia="黑体" w:cs="黑体"/>
                <w:b/>
                <w:color w:val="000000"/>
                <w:sz w:val="24"/>
              </w:rPr>
              <w:t>奖励人数</w:t>
            </w:r>
          </w:p>
        </w:tc>
        <w:tc>
          <w:tcPr>
            <w:tcW w:w="1757" w:type="dxa"/>
            <w:vAlign w:val="center"/>
          </w:tcPr>
          <w:p>
            <w:pPr>
              <w:spacing w:line="360" w:lineRule="auto"/>
              <w:jc w:val="center"/>
              <w:rPr>
                <w:rFonts w:ascii="黑体" w:hAnsi="黑体" w:eastAsia="黑体" w:cs="黑体"/>
                <w:b/>
                <w:color w:val="000000"/>
                <w:sz w:val="24"/>
              </w:rPr>
            </w:pPr>
            <w:r>
              <w:rPr>
                <w:rFonts w:hint="eastAsia" w:ascii="黑体" w:hAnsi="黑体" w:eastAsia="黑体" w:cs="黑体"/>
                <w:b/>
                <w:color w:val="000000"/>
                <w:sz w:val="24"/>
              </w:rPr>
              <w:t>硕士奖额</w:t>
            </w:r>
          </w:p>
        </w:tc>
        <w:tc>
          <w:tcPr>
            <w:tcW w:w="2121" w:type="dxa"/>
            <w:vAlign w:val="center"/>
          </w:tcPr>
          <w:p>
            <w:pPr>
              <w:spacing w:line="360" w:lineRule="auto"/>
              <w:jc w:val="center"/>
              <w:rPr>
                <w:rFonts w:ascii="黑体" w:hAnsi="黑体" w:eastAsia="黑体" w:cs="黑体"/>
                <w:b/>
                <w:color w:val="000000"/>
                <w:sz w:val="24"/>
              </w:rPr>
            </w:pPr>
            <w:r>
              <w:rPr>
                <w:rFonts w:hint="eastAsia" w:ascii="黑体" w:hAnsi="黑体" w:eastAsia="黑体" w:cs="黑体"/>
                <w:b/>
                <w:color w:val="000000"/>
                <w:sz w:val="24"/>
              </w:rPr>
              <w:t>博士奖额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2943" w:type="dxa"/>
            <w:vAlign w:val="center"/>
          </w:tcPr>
          <w:p>
            <w:pPr>
              <w:spacing w:line="360" w:lineRule="auto"/>
              <w:jc w:val="center"/>
              <w:rPr>
                <w:rFonts w:ascii="黑体" w:hAnsi="黑体" w:eastAsia="黑体" w:cs="黑体"/>
                <w:b/>
                <w:color w:val="000000"/>
                <w:sz w:val="24"/>
              </w:rPr>
            </w:pPr>
            <w:r>
              <w:rPr>
                <w:rFonts w:hint="eastAsia" w:ascii="黑体" w:hAnsi="黑体" w:eastAsia="黑体" w:cs="黑体"/>
                <w:b/>
                <w:color w:val="000000"/>
                <w:sz w:val="24"/>
              </w:rPr>
              <w:t>一等奖</w:t>
            </w:r>
          </w:p>
        </w:tc>
        <w:tc>
          <w:tcPr>
            <w:tcW w:w="1701" w:type="dxa"/>
            <w:vAlign w:val="center"/>
          </w:tcPr>
          <w:p>
            <w:pPr>
              <w:spacing w:line="360" w:lineRule="auto"/>
              <w:jc w:val="center"/>
              <w:rPr>
                <w:rFonts w:ascii="黑体" w:hAnsi="黑体" w:eastAsia="黑体" w:cs="黑体"/>
                <w:b/>
                <w:color w:val="000000"/>
                <w:sz w:val="24"/>
              </w:rPr>
            </w:pPr>
            <w:r>
              <w:rPr>
                <w:rFonts w:hint="eastAsia" w:ascii="黑体" w:hAnsi="黑体" w:eastAsia="黑体" w:cs="黑体"/>
                <w:b/>
                <w:color w:val="000000"/>
                <w:sz w:val="24"/>
              </w:rPr>
              <w:t>2 人</w:t>
            </w:r>
          </w:p>
        </w:tc>
        <w:tc>
          <w:tcPr>
            <w:tcW w:w="1757" w:type="dxa"/>
            <w:vAlign w:val="center"/>
          </w:tcPr>
          <w:p>
            <w:pPr>
              <w:spacing w:line="360" w:lineRule="auto"/>
              <w:jc w:val="center"/>
              <w:rPr>
                <w:rFonts w:ascii="黑体" w:hAnsi="黑体" w:eastAsia="黑体" w:cs="黑体"/>
                <w:b/>
                <w:color w:val="000000"/>
                <w:sz w:val="24"/>
              </w:rPr>
            </w:pPr>
            <w:r>
              <w:rPr>
                <w:rFonts w:hint="eastAsia" w:ascii="黑体" w:hAnsi="黑体" w:eastAsia="黑体" w:cs="黑体"/>
                <w:b/>
                <w:color w:val="000000"/>
                <w:sz w:val="24"/>
              </w:rPr>
              <w:t>10000 元</w:t>
            </w:r>
          </w:p>
        </w:tc>
        <w:tc>
          <w:tcPr>
            <w:tcW w:w="2121" w:type="dxa"/>
            <w:vAlign w:val="center"/>
          </w:tcPr>
          <w:p>
            <w:pPr>
              <w:spacing w:line="360" w:lineRule="auto"/>
              <w:jc w:val="center"/>
              <w:rPr>
                <w:rFonts w:ascii="黑体" w:hAnsi="黑体" w:eastAsia="黑体" w:cs="黑体"/>
                <w:b/>
                <w:color w:val="000000"/>
                <w:sz w:val="24"/>
              </w:rPr>
            </w:pPr>
            <w:r>
              <w:rPr>
                <w:rFonts w:hint="eastAsia" w:ascii="黑体" w:hAnsi="黑体" w:eastAsia="黑体" w:cs="黑体"/>
                <w:b/>
                <w:color w:val="000000"/>
                <w:sz w:val="24"/>
              </w:rPr>
              <w:t>10000 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2943" w:type="dxa"/>
            <w:vAlign w:val="center"/>
          </w:tcPr>
          <w:p>
            <w:pPr>
              <w:spacing w:line="360" w:lineRule="auto"/>
              <w:jc w:val="center"/>
              <w:rPr>
                <w:rFonts w:ascii="黑体" w:hAnsi="黑体" w:eastAsia="黑体" w:cs="黑体"/>
                <w:b/>
                <w:color w:val="000000"/>
                <w:sz w:val="24"/>
              </w:rPr>
            </w:pPr>
            <w:r>
              <w:rPr>
                <w:rFonts w:hint="eastAsia" w:ascii="黑体" w:hAnsi="黑体" w:eastAsia="黑体" w:cs="黑体"/>
                <w:b/>
                <w:color w:val="000000"/>
                <w:sz w:val="24"/>
              </w:rPr>
              <w:t>二等奖</w:t>
            </w:r>
          </w:p>
        </w:tc>
        <w:tc>
          <w:tcPr>
            <w:tcW w:w="1701" w:type="dxa"/>
            <w:vAlign w:val="center"/>
          </w:tcPr>
          <w:p>
            <w:pPr>
              <w:spacing w:line="360" w:lineRule="auto"/>
              <w:jc w:val="center"/>
              <w:rPr>
                <w:rFonts w:ascii="黑体" w:hAnsi="黑体" w:eastAsia="黑体" w:cs="黑体"/>
                <w:b/>
                <w:color w:val="000000"/>
                <w:sz w:val="24"/>
              </w:rPr>
            </w:pPr>
            <w:r>
              <w:rPr>
                <w:rFonts w:hint="eastAsia" w:ascii="黑体" w:hAnsi="黑体" w:eastAsia="黑体" w:cs="黑体"/>
                <w:b/>
                <w:color w:val="000000"/>
                <w:sz w:val="24"/>
              </w:rPr>
              <w:t>10 人</w:t>
            </w:r>
          </w:p>
        </w:tc>
        <w:tc>
          <w:tcPr>
            <w:tcW w:w="1757" w:type="dxa"/>
            <w:vAlign w:val="center"/>
          </w:tcPr>
          <w:p>
            <w:pPr>
              <w:spacing w:line="360" w:lineRule="auto"/>
              <w:jc w:val="center"/>
              <w:rPr>
                <w:rFonts w:ascii="黑体" w:hAnsi="黑体" w:eastAsia="黑体" w:cs="黑体"/>
                <w:b/>
                <w:color w:val="000000"/>
                <w:sz w:val="24"/>
              </w:rPr>
            </w:pPr>
            <w:r>
              <w:rPr>
                <w:rFonts w:hint="eastAsia" w:ascii="黑体" w:hAnsi="黑体" w:eastAsia="黑体" w:cs="黑体"/>
                <w:b/>
                <w:color w:val="000000"/>
                <w:sz w:val="24"/>
              </w:rPr>
              <w:t>5000 元</w:t>
            </w:r>
          </w:p>
        </w:tc>
        <w:tc>
          <w:tcPr>
            <w:tcW w:w="2121" w:type="dxa"/>
            <w:vAlign w:val="center"/>
          </w:tcPr>
          <w:p>
            <w:pPr>
              <w:spacing w:line="360" w:lineRule="auto"/>
              <w:jc w:val="center"/>
              <w:rPr>
                <w:rFonts w:ascii="黑体" w:hAnsi="黑体" w:eastAsia="黑体" w:cs="黑体"/>
                <w:b/>
                <w:color w:val="000000"/>
                <w:sz w:val="24"/>
              </w:rPr>
            </w:pPr>
            <w:r>
              <w:rPr>
                <w:rFonts w:hint="eastAsia" w:ascii="黑体" w:hAnsi="黑体" w:eastAsia="黑体" w:cs="黑体"/>
                <w:b/>
                <w:color w:val="000000"/>
                <w:sz w:val="24"/>
              </w:rPr>
              <w:t>5000 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jc w:val="center"/>
        </w:trPr>
        <w:tc>
          <w:tcPr>
            <w:tcW w:w="2943" w:type="dxa"/>
            <w:vAlign w:val="center"/>
          </w:tcPr>
          <w:p>
            <w:pPr>
              <w:spacing w:line="360" w:lineRule="auto"/>
              <w:jc w:val="center"/>
              <w:rPr>
                <w:rFonts w:ascii="黑体" w:hAnsi="黑体" w:eastAsia="黑体" w:cs="黑体"/>
                <w:b/>
                <w:color w:val="000000"/>
                <w:sz w:val="24"/>
              </w:rPr>
            </w:pPr>
            <w:r>
              <w:rPr>
                <w:rFonts w:hint="eastAsia" w:ascii="黑体" w:hAnsi="黑体" w:eastAsia="黑体" w:cs="黑体"/>
                <w:b/>
                <w:color w:val="000000"/>
                <w:sz w:val="24"/>
              </w:rPr>
              <w:t>三等奖（或专利成果奖）</w:t>
            </w:r>
          </w:p>
        </w:tc>
        <w:tc>
          <w:tcPr>
            <w:tcW w:w="1701" w:type="dxa"/>
            <w:vAlign w:val="center"/>
          </w:tcPr>
          <w:p>
            <w:pPr>
              <w:spacing w:line="360" w:lineRule="auto"/>
              <w:jc w:val="center"/>
              <w:rPr>
                <w:rFonts w:ascii="黑体" w:hAnsi="黑体" w:eastAsia="黑体" w:cs="黑体"/>
                <w:b/>
                <w:color w:val="000000"/>
                <w:sz w:val="24"/>
              </w:rPr>
            </w:pPr>
            <w:r>
              <w:rPr>
                <w:rFonts w:hint="eastAsia" w:ascii="黑体" w:hAnsi="黑体" w:eastAsia="黑体" w:cs="黑体"/>
                <w:b/>
                <w:color w:val="000000"/>
                <w:sz w:val="24"/>
              </w:rPr>
              <w:t>20 人</w:t>
            </w:r>
          </w:p>
        </w:tc>
        <w:tc>
          <w:tcPr>
            <w:tcW w:w="1757" w:type="dxa"/>
            <w:vAlign w:val="center"/>
          </w:tcPr>
          <w:p>
            <w:pPr>
              <w:spacing w:line="360" w:lineRule="auto"/>
              <w:jc w:val="center"/>
              <w:rPr>
                <w:rFonts w:ascii="黑体" w:hAnsi="黑体" w:eastAsia="黑体" w:cs="黑体"/>
                <w:b/>
                <w:color w:val="000000"/>
                <w:sz w:val="24"/>
              </w:rPr>
            </w:pPr>
            <w:r>
              <w:rPr>
                <w:rFonts w:hint="eastAsia" w:ascii="黑体" w:hAnsi="黑体" w:eastAsia="黑体" w:cs="黑体"/>
                <w:b/>
                <w:color w:val="000000"/>
                <w:sz w:val="24"/>
              </w:rPr>
              <w:t>2000 元</w:t>
            </w:r>
          </w:p>
        </w:tc>
        <w:tc>
          <w:tcPr>
            <w:tcW w:w="2121" w:type="dxa"/>
            <w:vAlign w:val="center"/>
          </w:tcPr>
          <w:p>
            <w:pPr>
              <w:spacing w:line="360" w:lineRule="auto"/>
              <w:rPr>
                <w:rFonts w:ascii="黑体" w:hAnsi="黑体" w:eastAsia="黑体" w:cs="黑体"/>
                <w:b/>
                <w:color w:val="FF0000"/>
                <w:sz w:val="15"/>
                <w:szCs w:val="15"/>
              </w:rPr>
            </w:pPr>
            <w:r>
              <w:rPr>
                <w:rFonts w:hint="eastAsia" w:ascii="黑体" w:hAnsi="黑体" w:eastAsia="黑体" w:cs="黑体"/>
                <w:b/>
                <w:color w:val="FF0000"/>
                <w:sz w:val="15"/>
                <w:szCs w:val="15"/>
              </w:rPr>
              <w:t>(注：该奖额博士研究生只奖励专利成果奖)</w:t>
            </w:r>
          </w:p>
        </w:tc>
      </w:tr>
    </w:tbl>
    <w:p>
      <w:pPr>
        <w:widowControl/>
        <w:spacing w:line="360" w:lineRule="auto"/>
        <w:jc w:val="left"/>
        <w:rPr>
          <w:rFonts w:ascii="黑体" w:hAnsi="黑体" w:eastAsia="黑体" w:cs="黑体"/>
          <w:b/>
          <w:color w:val="000000"/>
          <w:sz w:val="24"/>
        </w:rPr>
      </w:pPr>
      <w:r>
        <w:rPr>
          <w:rFonts w:hint="eastAsia" w:ascii="黑体" w:hAnsi="黑体" w:eastAsia="黑体" w:cs="黑体"/>
          <w:b/>
          <w:color w:val="000000"/>
          <w:sz w:val="24"/>
        </w:rPr>
        <w:t>（三）申报范围</w:t>
      </w:r>
    </w:p>
    <w:p>
      <w:pPr>
        <w:spacing w:line="360" w:lineRule="auto"/>
        <w:ind w:firstLine="480"/>
        <w:rPr>
          <w:rFonts w:ascii="黑体" w:hAnsi="黑体" w:eastAsia="黑体" w:cs="黑体"/>
          <w:b/>
          <w:color w:val="000000"/>
          <w:sz w:val="24"/>
        </w:rPr>
      </w:pPr>
      <w:r>
        <w:rPr>
          <w:rFonts w:hint="eastAsia" w:ascii="黑体" w:hAnsi="黑体" w:eastAsia="黑体" w:cs="黑体"/>
          <w:b/>
          <w:color w:val="000000"/>
          <w:sz w:val="24"/>
        </w:rPr>
        <w:t>本校“地质学”和“地质资源与地质工程”两个一级学科中从事的研究工作与本中心研究方向相一致的全日制在读研究生（含博士、硕士，固体矿产方向优先）。本校教职工攻读我校研究生，其科研成果不在此奖励范围之内。</w:t>
      </w:r>
    </w:p>
    <w:p>
      <w:pPr>
        <w:spacing w:line="360" w:lineRule="auto"/>
        <w:ind w:firstLine="480"/>
        <w:rPr>
          <w:rFonts w:ascii="黑体" w:hAnsi="黑体" w:eastAsia="黑体" w:cs="黑体"/>
          <w:b/>
          <w:color w:val="000000"/>
          <w:sz w:val="24"/>
        </w:rPr>
      </w:pPr>
      <w:r>
        <w:rPr>
          <w:rFonts w:hint="eastAsia" w:ascii="黑体" w:hAnsi="黑体" w:eastAsia="黑体" w:cs="黑体"/>
          <w:b/>
          <w:color w:val="000000"/>
          <w:sz w:val="24"/>
        </w:rPr>
        <w:t>参评成果必须为上一学年度的各类科研成果，非研究生在读期间的各类科研成果不得参评。</w:t>
      </w:r>
    </w:p>
    <w:p>
      <w:pPr>
        <w:spacing w:line="360" w:lineRule="auto"/>
        <w:rPr>
          <w:rFonts w:ascii="黑体" w:hAnsi="黑体" w:eastAsia="黑体" w:cs="黑体"/>
          <w:b/>
          <w:color w:val="000000"/>
          <w:sz w:val="24"/>
        </w:rPr>
      </w:pPr>
      <w:r>
        <w:rPr>
          <w:rFonts w:hint="eastAsia" w:ascii="黑体" w:hAnsi="黑体" w:eastAsia="黑体" w:cs="黑体"/>
          <w:b/>
          <w:color w:val="000000"/>
          <w:sz w:val="24"/>
        </w:rPr>
        <w:t>三、奖励要求</w:t>
      </w:r>
    </w:p>
    <w:p>
      <w:pPr>
        <w:spacing w:line="360" w:lineRule="auto"/>
        <w:rPr>
          <w:rFonts w:ascii="黑体" w:hAnsi="黑体" w:eastAsia="黑体" w:cs="黑体"/>
          <w:b/>
          <w:color w:val="000000"/>
          <w:sz w:val="24"/>
        </w:rPr>
      </w:pPr>
      <w:r>
        <w:rPr>
          <w:rFonts w:ascii="黑体" w:hAnsi="黑体" w:eastAsia="黑体" w:cs="黑体"/>
          <w:b/>
          <w:color w:val="000000"/>
          <w:sz w:val="24"/>
        </w:rPr>
        <w:t>(一) 学术论文奖：</w:t>
      </w:r>
    </w:p>
    <w:p>
      <w:pPr>
        <w:spacing w:line="360" w:lineRule="auto"/>
        <w:rPr>
          <w:rFonts w:ascii="黑体" w:hAnsi="黑体" w:eastAsia="黑体" w:cs="黑体"/>
          <w:b/>
          <w:color w:val="000000"/>
          <w:sz w:val="24"/>
        </w:rPr>
      </w:pPr>
      <w:r>
        <w:rPr>
          <w:rFonts w:ascii="黑体" w:hAnsi="黑体" w:eastAsia="黑体" w:cs="黑体"/>
          <w:b/>
          <w:color w:val="000000"/>
          <w:sz w:val="24"/>
        </w:rPr>
        <w:t xml:space="preserve"> </w:t>
      </w:r>
      <w:r>
        <w:rPr>
          <w:rFonts w:hint="eastAsia" w:ascii="黑体" w:hAnsi="黑体" w:eastAsia="黑体" w:cs="黑体"/>
          <w:b/>
          <w:color w:val="000000"/>
          <w:sz w:val="24"/>
        </w:rPr>
        <w:t>1.</w:t>
      </w:r>
      <w:r>
        <w:rPr>
          <w:rFonts w:ascii="黑体" w:hAnsi="黑体" w:eastAsia="黑体" w:cs="黑体"/>
          <w:b/>
          <w:color w:val="000000"/>
          <w:sz w:val="24"/>
        </w:rPr>
        <w:t xml:space="preserve"> 仅限在SCI(SCIE)核心库T4及以上级别学术刊物上发表的学术论文。</w:t>
      </w:r>
    </w:p>
    <w:p>
      <w:pPr>
        <w:spacing w:line="360" w:lineRule="auto"/>
        <w:rPr>
          <w:rFonts w:ascii="黑体" w:hAnsi="黑体" w:eastAsia="黑体" w:cs="黑体"/>
          <w:b/>
          <w:color w:val="000000"/>
          <w:sz w:val="24"/>
        </w:rPr>
      </w:pPr>
      <w:r>
        <w:rPr>
          <w:rFonts w:ascii="黑体" w:hAnsi="黑体" w:eastAsia="黑体" w:cs="黑体"/>
          <w:b/>
          <w:color w:val="000000"/>
          <w:sz w:val="24"/>
        </w:rPr>
        <w:t xml:space="preserve"> </w:t>
      </w:r>
      <w:r>
        <w:rPr>
          <w:rFonts w:hint="eastAsia" w:ascii="黑体" w:hAnsi="黑体" w:eastAsia="黑体" w:cs="黑体"/>
          <w:b/>
          <w:color w:val="000000"/>
          <w:sz w:val="24"/>
        </w:rPr>
        <w:t>2.</w:t>
      </w:r>
      <w:r>
        <w:rPr>
          <w:rFonts w:ascii="黑体" w:hAnsi="黑体" w:eastAsia="黑体" w:cs="黑体"/>
          <w:b/>
          <w:color w:val="000000"/>
          <w:sz w:val="24"/>
        </w:rPr>
        <w:t xml:space="preserve"> T2及以上级别学术刊物为一等奖，博士生和硕士生共2人，每人奖金一万元；</w:t>
      </w:r>
    </w:p>
    <w:p>
      <w:pPr>
        <w:spacing w:line="360" w:lineRule="auto"/>
        <w:rPr>
          <w:rFonts w:ascii="黑体" w:hAnsi="黑体" w:eastAsia="黑体" w:cs="黑体"/>
          <w:b/>
          <w:color w:val="000000"/>
          <w:sz w:val="24"/>
        </w:rPr>
      </w:pPr>
      <w:r>
        <w:rPr>
          <w:rFonts w:ascii="黑体" w:hAnsi="黑体" w:eastAsia="黑体" w:cs="黑体"/>
          <w:b/>
          <w:color w:val="000000"/>
          <w:sz w:val="24"/>
        </w:rPr>
        <w:t xml:space="preserve">    T3及以上(T2以下)级别学术刊物为二等奖，博士生和硕士生共10人，每人奖金五千元；</w:t>
      </w:r>
    </w:p>
    <w:p>
      <w:pPr>
        <w:spacing w:line="360" w:lineRule="auto"/>
        <w:ind w:firstLine="481"/>
        <w:rPr>
          <w:rFonts w:ascii="黑体" w:hAnsi="黑体" w:eastAsia="黑体" w:cs="黑体"/>
          <w:b/>
          <w:color w:val="000000"/>
          <w:sz w:val="24"/>
        </w:rPr>
      </w:pPr>
      <w:r>
        <w:rPr>
          <w:rFonts w:ascii="黑体" w:hAnsi="黑体" w:eastAsia="黑体" w:cs="黑体"/>
          <w:b/>
          <w:color w:val="000000"/>
          <w:sz w:val="24"/>
        </w:rPr>
        <w:t>T4及以上(T3以下)级别学术刊物为三等奖，博士生和硕士生共20人，每人奖金两千元。</w:t>
      </w:r>
    </w:p>
    <w:p>
      <w:pPr>
        <w:spacing w:line="360" w:lineRule="auto"/>
        <w:ind w:firstLine="481"/>
        <w:rPr>
          <w:rFonts w:hint="eastAsia" w:ascii="黑体" w:hAnsi="黑体" w:eastAsia="黑体" w:cs="黑体"/>
          <w:b/>
          <w:color w:val="000000"/>
          <w:sz w:val="24"/>
          <w:lang w:val="en-US" w:eastAsia="zh-CN"/>
        </w:rPr>
      </w:pPr>
      <w:r>
        <w:rPr>
          <w:rFonts w:hint="eastAsia" w:ascii="黑体" w:hAnsi="黑体" w:eastAsia="黑体" w:cs="黑体"/>
          <w:b/>
          <w:color w:val="000000"/>
          <w:sz w:val="24"/>
          <w:lang w:val="en-US" w:eastAsia="zh-CN"/>
        </w:rPr>
        <w:t>论文级别按照校内最新发布的SCI、SCIE科学引文索引收录期刊为准(三大检索系统网址：http://www.lib.cug.edu.cn/pageinfo?cid=312)。</w:t>
      </w:r>
    </w:p>
    <w:p>
      <w:pPr>
        <w:spacing w:line="360" w:lineRule="auto"/>
        <w:rPr>
          <w:rFonts w:ascii="黑体" w:hAnsi="黑体" w:eastAsia="黑体" w:cs="黑体"/>
          <w:b/>
          <w:color w:val="000000"/>
          <w:sz w:val="24"/>
        </w:rPr>
      </w:pPr>
      <w:r>
        <w:rPr>
          <w:rFonts w:ascii="黑体" w:hAnsi="黑体" w:eastAsia="黑体" w:cs="黑体"/>
          <w:b/>
          <w:color w:val="000000"/>
          <w:sz w:val="24"/>
        </w:rPr>
        <w:t xml:space="preserve"> </w:t>
      </w:r>
      <w:r>
        <w:rPr>
          <w:rFonts w:hint="eastAsia" w:ascii="黑体" w:hAnsi="黑体" w:eastAsia="黑体" w:cs="黑体"/>
          <w:b/>
          <w:color w:val="000000"/>
          <w:sz w:val="24"/>
        </w:rPr>
        <w:t>3.</w:t>
      </w:r>
      <w:r>
        <w:rPr>
          <w:rFonts w:ascii="黑体" w:hAnsi="黑体" w:eastAsia="黑体" w:cs="黑体"/>
          <w:b/>
          <w:color w:val="000000"/>
          <w:sz w:val="24"/>
        </w:rPr>
        <w:t>博士研究生只奖励T3及以上级别的学术论文</w:t>
      </w:r>
      <w:r>
        <w:rPr>
          <w:rFonts w:hint="eastAsia" w:ascii="黑体" w:hAnsi="黑体" w:eastAsia="黑体" w:cs="黑体"/>
          <w:b/>
          <w:color w:val="000000"/>
          <w:sz w:val="24"/>
        </w:rPr>
        <w:t>。</w:t>
      </w:r>
    </w:p>
    <w:p>
      <w:pPr>
        <w:spacing w:line="360" w:lineRule="auto"/>
        <w:rPr>
          <w:rFonts w:ascii="黑体" w:hAnsi="黑体" w:eastAsia="黑体" w:cs="黑体"/>
          <w:b/>
          <w:color w:val="000000"/>
          <w:sz w:val="24"/>
        </w:rPr>
      </w:pPr>
      <w:r>
        <w:rPr>
          <w:rFonts w:ascii="黑体" w:hAnsi="黑体" w:eastAsia="黑体" w:cs="黑体"/>
          <w:b/>
          <w:color w:val="000000"/>
          <w:sz w:val="24"/>
        </w:rPr>
        <w:t>(二) 专利成果奖</w:t>
      </w:r>
    </w:p>
    <w:p>
      <w:pPr>
        <w:spacing w:line="360" w:lineRule="auto"/>
        <w:rPr>
          <w:rFonts w:ascii="黑体" w:hAnsi="黑体" w:eastAsia="黑体" w:cs="黑体"/>
          <w:b/>
          <w:color w:val="000000"/>
          <w:sz w:val="24"/>
        </w:rPr>
      </w:pPr>
      <w:r>
        <w:rPr>
          <w:rFonts w:hint="eastAsia" w:ascii="黑体" w:hAnsi="黑体" w:eastAsia="黑体" w:cs="黑体"/>
          <w:b/>
          <w:color w:val="000000"/>
          <w:sz w:val="24"/>
          <w:lang w:val="en-US" w:eastAsia="zh-CN"/>
        </w:rPr>
        <w:t xml:space="preserve"> </w:t>
      </w:r>
      <w:bookmarkStart w:id="3" w:name="_GoBack"/>
      <w:bookmarkEnd w:id="3"/>
      <w:r>
        <w:rPr>
          <w:rFonts w:hint="eastAsia" w:ascii="黑体" w:hAnsi="黑体" w:eastAsia="黑体" w:cs="黑体"/>
          <w:b/>
          <w:color w:val="000000"/>
          <w:sz w:val="24"/>
        </w:rPr>
        <w:t>发明类专利成果授权2000元/项。</w:t>
      </w:r>
    </w:p>
    <w:p>
      <w:pPr>
        <w:spacing w:beforeLines="50" w:afterLines="50" w:line="360" w:lineRule="auto"/>
        <w:rPr>
          <w:rFonts w:ascii="黑体" w:hAnsi="黑体" w:eastAsia="黑体" w:cs="黑体"/>
          <w:b/>
          <w:color w:val="000000"/>
          <w:sz w:val="24"/>
        </w:rPr>
      </w:pPr>
      <w:r>
        <w:rPr>
          <w:rFonts w:hint="eastAsia" w:ascii="黑体" w:hAnsi="黑体" w:eastAsia="黑体" w:cs="黑体"/>
          <w:b/>
          <w:color w:val="000000"/>
          <w:sz w:val="24"/>
        </w:rPr>
        <w:t>四、申报程序</w:t>
      </w:r>
    </w:p>
    <w:p>
      <w:pPr>
        <w:spacing w:line="360" w:lineRule="auto"/>
        <w:rPr>
          <w:rFonts w:ascii="黑体" w:hAnsi="黑体" w:eastAsia="黑体" w:cs="黑体"/>
          <w:b/>
          <w:color w:val="000000"/>
          <w:sz w:val="24"/>
        </w:rPr>
      </w:pPr>
      <w:r>
        <w:rPr>
          <w:rFonts w:ascii="黑体" w:hAnsi="黑体" w:eastAsia="黑体" w:cs="黑体"/>
          <w:b/>
          <w:color w:val="000000"/>
          <w:sz w:val="24"/>
        </w:rPr>
        <w:t xml:space="preserve">(一) </w:t>
      </w:r>
      <w:r>
        <w:rPr>
          <w:rFonts w:hint="eastAsia" w:ascii="黑体" w:hAnsi="黑体" w:eastAsia="黑体" w:cs="黑体"/>
          <w:b/>
          <w:color w:val="000000"/>
          <w:sz w:val="24"/>
        </w:rPr>
        <w:t>申请人在规定时间内填写《附件：协同创新中心“CUG学子”优秀成果登记表》（见附1）</w:t>
      </w:r>
      <w:r>
        <w:rPr>
          <w:rFonts w:hint="eastAsia" w:ascii="黑体" w:hAnsi="黑体" w:eastAsia="黑体" w:cs="黑体"/>
          <w:b/>
          <w:color w:val="000000"/>
          <w:sz w:val="24"/>
          <w:lang w:eastAsia="zh-CN"/>
        </w:rPr>
        <w:t>，</w:t>
      </w:r>
      <w:r>
        <w:rPr>
          <w:rFonts w:hint="eastAsia" w:ascii="黑体" w:hAnsi="黑体" w:eastAsia="黑体" w:cs="黑体"/>
          <w:b/>
          <w:color w:val="000000"/>
          <w:sz w:val="24"/>
        </w:rPr>
        <w:t>并向协同创新中心提供相关材料及证明的原件及复印件一份</w:t>
      </w:r>
      <w:r>
        <w:rPr>
          <w:rFonts w:hint="eastAsia" w:ascii="黑体" w:hAnsi="黑体" w:eastAsia="黑体" w:cs="黑体"/>
          <w:b/>
          <w:color w:val="000000"/>
          <w:sz w:val="24"/>
          <w:lang w:eastAsia="zh-CN"/>
        </w:rPr>
        <w:t>；</w:t>
      </w:r>
    </w:p>
    <w:p>
      <w:pPr>
        <w:spacing w:beforeLines="50" w:afterLines="50" w:line="360" w:lineRule="auto"/>
        <w:rPr>
          <w:rFonts w:ascii="黑体" w:hAnsi="黑体" w:eastAsia="黑体" w:cs="黑体"/>
          <w:b/>
          <w:color w:val="000000"/>
          <w:sz w:val="24"/>
        </w:rPr>
      </w:pPr>
      <w:r>
        <w:rPr>
          <w:rFonts w:ascii="黑体" w:hAnsi="黑体" w:eastAsia="黑体" w:cs="黑体"/>
          <w:b/>
          <w:color w:val="000000"/>
          <w:sz w:val="24"/>
        </w:rPr>
        <w:t>(</w:t>
      </w:r>
      <w:r>
        <w:rPr>
          <w:rFonts w:hint="eastAsia" w:ascii="黑体" w:hAnsi="黑体" w:eastAsia="黑体" w:cs="黑体"/>
          <w:b/>
          <w:color w:val="000000"/>
          <w:sz w:val="24"/>
        </w:rPr>
        <w:t>二</w:t>
      </w:r>
      <w:r>
        <w:rPr>
          <w:rFonts w:ascii="黑体" w:hAnsi="黑体" w:eastAsia="黑体" w:cs="黑体"/>
          <w:b/>
          <w:color w:val="000000"/>
          <w:sz w:val="24"/>
        </w:rPr>
        <w:t xml:space="preserve">) </w:t>
      </w:r>
      <w:r>
        <w:rPr>
          <w:rFonts w:hint="eastAsia" w:ascii="黑体" w:hAnsi="黑体" w:eastAsia="黑体" w:cs="黑体"/>
          <w:b/>
          <w:color w:val="000000"/>
          <w:sz w:val="24"/>
        </w:rPr>
        <w:t>协同创新中心组织“</w:t>
      </w:r>
      <w:r>
        <w:rPr>
          <w:rFonts w:ascii="黑体" w:hAnsi="黑体" w:eastAsia="黑体" w:cs="黑体"/>
          <w:b/>
          <w:color w:val="000000"/>
          <w:sz w:val="24"/>
        </w:rPr>
        <w:t>CUG</w:t>
      </w:r>
      <w:r>
        <w:rPr>
          <w:rFonts w:hint="eastAsia" w:ascii="黑体" w:hAnsi="黑体" w:eastAsia="黑体" w:cs="黑体"/>
          <w:b/>
          <w:color w:val="000000"/>
          <w:sz w:val="24"/>
        </w:rPr>
        <w:t>学子”成果奖励由中心领导、相关学科（或学院）教授等组成评审小组进行评审，按照参评成绩择优评审</w:t>
      </w:r>
      <w:r>
        <w:rPr>
          <w:rFonts w:hint="eastAsia" w:ascii="黑体" w:hAnsi="黑体" w:eastAsia="黑体" w:cs="黑体"/>
          <w:b/>
          <w:color w:val="000000"/>
          <w:sz w:val="24"/>
          <w:lang w:eastAsia="zh-CN"/>
        </w:rPr>
        <w:t>。</w:t>
      </w:r>
      <w:r>
        <w:rPr>
          <w:rFonts w:hint="eastAsia" w:ascii="黑体" w:hAnsi="黑体" w:eastAsia="黑体" w:cs="黑体"/>
          <w:b/>
          <w:color w:val="000000"/>
          <w:sz w:val="24"/>
        </w:rPr>
        <w:t>确定奖励名单</w:t>
      </w:r>
      <w:r>
        <w:rPr>
          <w:rFonts w:hint="eastAsia" w:ascii="黑体" w:hAnsi="黑体" w:eastAsia="黑体" w:cs="黑体"/>
          <w:b/>
          <w:color w:val="000000"/>
          <w:sz w:val="24"/>
          <w:lang w:eastAsia="zh-CN"/>
        </w:rPr>
        <w:t>，</w:t>
      </w:r>
      <w:r>
        <w:rPr>
          <w:rFonts w:hint="eastAsia" w:ascii="黑体" w:hAnsi="黑体" w:eastAsia="黑体" w:cs="黑体"/>
          <w:b/>
          <w:color w:val="000000"/>
          <w:sz w:val="24"/>
        </w:rPr>
        <w:t>并报主管校领导审批</w:t>
      </w:r>
      <w:r>
        <w:rPr>
          <w:rFonts w:hint="eastAsia" w:ascii="黑体" w:hAnsi="黑体" w:eastAsia="黑体" w:cs="黑体"/>
          <w:b/>
          <w:color w:val="000000"/>
          <w:sz w:val="24"/>
          <w:lang w:eastAsia="zh-CN"/>
        </w:rPr>
        <w:t>；</w:t>
      </w:r>
    </w:p>
    <w:p>
      <w:pPr>
        <w:snapToGrid w:val="0"/>
        <w:spacing w:line="360" w:lineRule="auto"/>
        <w:rPr>
          <w:rFonts w:ascii="黑体" w:hAnsi="黑体" w:eastAsia="黑体" w:cs="黑体"/>
          <w:b/>
          <w:color w:val="000000"/>
          <w:sz w:val="24"/>
        </w:rPr>
      </w:pPr>
      <w:r>
        <w:rPr>
          <w:rFonts w:ascii="黑体" w:hAnsi="黑体" w:eastAsia="黑体" w:cs="黑体"/>
          <w:b/>
          <w:color w:val="000000"/>
          <w:sz w:val="24"/>
        </w:rPr>
        <w:t>(</w:t>
      </w:r>
      <w:r>
        <w:rPr>
          <w:rFonts w:hint="eastAsia" w:ascii="黑体" w:hAnsi="黑体" w:eastAsia="黑体" w:cs="黑体"/>
          <w:b/>
          <w:color w:val="000000"/>
          <w:sz w:val="24"/>
        </w:rPr>
        <w:t>三</w:t>
      </w:r>
      <w:r>
        <w:rPr>
          <w:rFonts w:ascii="黑体" w:hAnsi="黑体" w:eastAsia="黑体" w:cs="黑体"/>
          <w:b/>
          <w:color w:val="000000"/>
          <w:sz w:val="24"/>
        </w:rPr>
        <w:t>)</w:t>
      </w:r>
      <w:r>
        <w:rPr>
          <w:rFonts w:hint="eastAsia" w:ascii="黑体" w:hAnsi="黑体" w:eastAsia="黑体" w:cs="黑体"/>
          <w:b/>
          <w:color w:val="000000"/>
          <w:sz w:val="24"/>
        </w:rPr>
        <w:t xml:space="preserve"> 学校审批通过公示后，给予公开表彰，发放证书与奖金</w:t>
      </w:r>
      <w:r>
        <w:rPr>
          <w:rFonts w:hint="eastAsia" w:ascii="黑体" w:hAnsi="黑体" w:eastAsia="黑体" w:cs="黑体"/>
          <w:b/>
          <w:color w:val="000000"/>
          <w:sz w:val="24"/>
          <w:lang w:eastAsia="zh-CN"/>
        </w:rPr>
        <w:t>。</w:t>
      </w:r>
    </w:p>
    <w:p>
      <w:pPr>
        <w:spacing w:beforeLines="50" w:afterLines="50" w:line="360" w:lineRule="auto"/>
        <w:rPr>
          <w:rFonts w:ascii="黑体" w:hAnsi="黑体" w:eastAsia="黑体" w:cs="黑体"/>
          <w:b/>
          <w:color w:val="000000"/>
          <w:sz w:val="24"/>
        </w:rPr>
      </w:pPr>
      <w:r>
        <w:rPr>
          <w:rFonts w:hint="eastAsia" w:ascii="黑体" w:hAnsi="黑体" w:eastAsia="黑体" w:cs="黑体"/>
          <w:b/>
          <w:color w:val="000000"/>
          <w:sz w:val="24"/>
        </w:rPr>
        <w:t>五、附则</w:t>
      </w:r>
    </w:p>
    <w:p>
      <w:pPr>
        <w:pStyle w:val="4"/>
        <w:spacing w:line="360" w:lineRule="auto"/>
        <w:rPr>
          <w:rFonts w:ascii="黑体" w:hAnsi="黑体" w:eastAsia="黑体" w:cs="黑体"/>
          <w:b/>
          <w:color w:val="000000"/>
          <w:sz w:val="24"/>
        </w:rPr>
      </w:pPr>
      <w:r>
        <w:rPr>
          <w:rFonts w:ascii="黑体" w:hAnsi="黑体" w:eastAsia="黑体" w:cs="黑体"/>
          <w:b/>
          <w:color w:val="000000"/>
          <w:sz w:val="24"/>
        </w:rPr>
        <w:t xml:space="preserve">(一) </w:t>
      </w:r>
      <w:r>
        <w:rPr>
          <w:rFonts w:hint="eastAsia" w:ascii="黑体" w:hAnsi="黑体" w:eastAsia="黑体" w:cs="黑体"/>
          <w:b/>
          <w:color w:val="000000"/>
          <w:sz w:val="24"/>
        </w:rPr>
        <w:t>申报人所申报的成果如果有弄虚作假、剽窃、抄袭等学术不端行为，一经查实立即撤销奖励，追缴当事人该项成果奖励，并按照违反《中国地质大学学术道德行为规范》给予申报人通报批评直至纪律处分。</w:t>
      </w:r>
    </w:p>
    <w:p>
      <w:pPr>
        <w:pStyle w:val="4"/>
        <w:spacing w:line="360" w:lineRule="auto"/>
        <w:rPr>
          <w:rFonts w:ascii="黑体" w:hAnsi="黑体" w:eastAsia="黑体" w:cs="黑体"/>
          <w:b/>
          <w:color w:val="000000"/>
          <w:sz w:val="24"/>
        </w:rPr>
      </w:pPr>
      <w:r>
        <w:rPr>
          <w:rFonts w:ascii="黑体" w:hAnsi="黑体" w:eastAsia="黑体" w:cs="黑体"/>
          <w:b/>
          <w:color w:val="000000"/>
          <w:sz w:val="24"/>
        </w:rPr>
        <w:t>(</w:t>
      </w:r>
      <w:r>
        <w:rPr>
          <w:rFonts w:hint="eastAsia" w:ascii="黑体" w:hAnsi="黑体" w:eastAsia="黑体" w:cs="黑体"/>
          <w:b/>
          <w:color w:val="000000"/>
          <w:sz w:val="24"/>
        </w:rPr>
        <w:t>二</w:t>
      </w:r>
      <w:r>
        <w:rPr>
          <w:rFonts w:ascii="黑体" w:hAnsi="黑体" w:eastAsia="黑体" w:cs="黑体"/>
          <w:b/>
          <w:color w:val="000000"/>
          <w:sz w:val="24"/>
        </w:rPr>
        <w:t>)</w:t>
      </w:r>
      <w:r>
        <w:rPr>
          <w:rFonts w:hint="eastAsia" w:ascii="黑体" w:hAnsi="黑体" w:eastAsia="黑体" w:cs="黑体"/>
          <w:b/>
          <w:color w:val="000000"/>
          <w:sz w:val="24"/>
        </w:rPr>
        <w:t xml:space="preserve"> 成果认定和奖励中遇到的特殊问题由“研究生优秀成果奖励评审小组”进行解释和处理。</w:t>
      </w:r>
    </w:p>
    <w:p>
      <w:pPr>
        <w:pStyle w:val="4"/>
        <w:spacing w:line="360" w:lineRule="auto"/>
        <w:rPr>
          <w:rFonts w:ascii="黑体" w:hAnsi="黑体" w:eastAsia="黑体" w:cs="黑体"/>
          <w:b/>
          <w:color w:val="000000"/>
          <w:sz w:val="24"/>
        </w:rPr>
      </w:pPr>
      <w:r>
        <w:rPr>
          <w:rFonts w:ascii="黑体" w:hAnsi="黑体" w:eastAsia="黑体" w:cs="黑体"/>
          <w:b/>
          <w:color w:val="000000"/>
          <w:sz w:val="24"/>
        </w:rPr>
        <w:t>(</w:t>
      </w:r>
      <w:r>
        <w:rPr>
          <w:rFonts w:hint="eastAsia" w:ascii="黑体" w:hAnsi="黑体" w:eastAsia="黑体" w:cs="黑体"/>
          <w:b/>
          <w:color w:val="000000"/>
          <w:sz w:val="24"/>
        </w:rPr>
        <w:t>三</w:t>
      </w:r>
      <w:r>
        <w:rPr>
          <w:rFonts w:ascii="黑体" w:hAnsi="黑体" w:eastAsia="黑体" w:cs="黑体"/>
          <w:b/>
          <w:color w:val="000000"/>
          <w:sz w:val="24"/>
        </w:rPr>
        <w:t xml:space="preserve">) </w:t>
      </w:r>
      <w:r>
        <w:rPr>
          <w:rFonts w:hint="eastAsia" w:ascii="黑体" w:hAnsi="黑体" w:eastAsia="黑体" w:cs="黑体"/>
          <w:b/>
          <w:color w:val="000000"/>
          <w:sz w:val="24"/>
        </w:rPr>
        <w:t>本办法由协同创新中心负责解释，自颁布之日起执行并适时提起修订。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62878020">
    <w:nsid w:val="74FF2444"/>
    <w:multiLevelType w:val="multilevel"/>
    <w:tmpl w:val="74FF2444"/>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19628780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761C5"/>
    <w:rsid w:val="0000226D"/>
    <w:rsid w:val="00122D6C"/>
    <w:rsid w:val="00267D96"/>
    <w:rsid w:val="002C344C"/>
    <w:rsid w:val="0036158F"/>
    <w:rsid w:val="00510BE8"/>
    <w:rsid w:val="00546B9B"/>
    <w:rsid w:val="00652DC6"/>
    <w:rsid w:val="0066318A"/>
    <w:rsid w:val="006A3E7A"/>
    <w:rsid w:val="00751D5E"/>
    <w:rsid w:val="007B1BC0"/>
    <w:rsid w:val="008761C5"/>
    <w:rsid w:val="00A22900"/>
    <w:rsid w:val="00A62D09"/>
    <w:rsid w:val="00C07074"/>
    <w:rsid w:val="00D06F18"/>
    <w:rsid w:val="00D9322C"/>
    <w:rsid w:val="00E41E50"/>
    <w:rsid w:val="00EA2D15"/>
    <w:rsid w:val="00F16266"/>
    <w:rsid w:val="14B1380F"/>
    <w:rsid w:val="14E76265"/>
    <w:rsid w:val="172F4E8E"/>
    <w:rsid w:val="18B33DE0"/>
    <w:rsid w:val="48CF0559"/>
    <w:rsid w:val="5E5919AF"/>
    <w:rsid w:val="63D936FC"/>
    <w:rsid w:val="6D101B5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link w:val="14"/>
    <w:qFormat/>
    <w:uiPriority w:val="0"/>
    <w:pPr>
      <w:keepLines w:val="0"/>
      <w:spacing w:before="0" w:after="0" w:line="240" w:lineRule="auto"/>
      <w:jc w:val="center"/>
      <w:outlineLvl w:val="0"/>
    </w:pPr>
    <w:rPr>
      <w:rFonts w:ascii="Times New Roman" w:hAnsi="Times New Roman" w:eastAsia="黑体" w:cs="Times New Roman"/>
      <w:sz w:val="36"/>
      <w:szCs w:val="2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Plain Text"/>
    <w:basedOn w:val="1"/>
    <w:link w:val="15"/>
    <w:qFormat/>
    <w:uiPriority w:val="0"/>
    <w:rPr>
      <w:rFonts w:ascii="宋体" w:hAnsi="Courier New"/>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000000"/>
      <w:kern w:val="0"/>
      <w:sz w:val="18"/>
      <w:szCs w:val="18"/>
      <w:lang w:val="en-US" w:eastAsia="zh-CN" w:bidi="ar"/>
    </w:rPr>
  </w:style>
  <w:style w:type="character" w:styleId="9">
    <w:name w:val="Strong"/>
    <w:basedOn w:val="8"/>
    <w:qFormat/>
    <w:uiPriority w:val="22"/>
    <w:rPr>
      <w:b/>
    </w:rPr>
  </w:style>
  <w:style w:type="character" w:styleId="10">
    <w:name w:val="FollowedHyperlink"/>
    <w:basedOn w:val="8"/>
    <w:unhideWhenUsed/>
    <w:qFormat/>
    <w:uiPriority w:val="99"/>
    <w:rPr>
      <w:color w:val="333333"/>
      <w:u w:val="none"/>
    </w:rPr>
  </w:style>
  <w:style w:type="character" w:styleId="11">
    <w:name w:val="Hyperlink"/>
    <w:basedOn w:val="8"/>
    <w:unhideWhenUsed/>
    <w:qFormat/>
    <w:uiPriority w:val="99"/>
    <w:rPr>
      <w:color w:val="333333"/>
      <w:u w:val="none"/>
    </w:rPr>
  </w:style>
  <w:style w:type="character" w:styleId="12">
    <w:name w:val="HTML Code"/>
    <w:basedOn w:val="8"/>
    <w:unhideWhenUsed/>
    <w:qFormat/>
    <w:uiPriority w:val="99"/>
    <w:rPr>
      <w:rFonts w:ascii="Courier New" w:hAnsi="Courier New"/>
      <w:color w:val="000000"/>
      <w:sz w:val="18"/>
      <w:szCs w:val="18"/>
    </w:rPr>
  </w:style>
  <w:style w:type="character" w:customStyle="1" w:styleId="14">
    <w:name w:val="标题 1 Char"/>
    <w:basedOn w:val="8"/>
    <w:link w:val="2"/>
    <w:qFormat/>
    <w:uiPriority w:val="0"/>
    <w:rPr>
      <w:rFonts w:ascii="Times New Roman" w:hAnsi="Times New Roman" w:eastAsia="黑体" w:cs="Times New Roman"/>
      <w:b/>
      <w:bCs/>
      <w:sz w:val="36"/>
      <w:szCs w:val="24"/>
    </w:rPr>
  </w:style>
  <w:style w:type="character" w:customStyle="1" w:styleId="15">
    <w:name w:val="纯文本 Char"/>
    <w:basedOn w:val="8"/>
    <w:link w:val="4"/>
    <w:qFormat/>
    <w:uiPriority w:val="0"/>
    <w:rPr>
      <w:rFonts w:ascii="宋体" w:hAnsi="Courier New" w:eastAsia="宋体" w:cs="Times New Roman"/>
      <w:szCs w:val="24"/>
    </w:rPr>
  </w:style>
  <w:style w:type="character" w:customStyle="1" w:styleId="16">
    <w:name w:val="标题 2 Char"/>
    <w:basedOn w:val="8"/>
    <w:link w:val="3"/>
    <w:semiHidden/>
    <w:qFormat/>
    <w:uiPriority w:val="9"/>
    <w:rPr>
      <w:rFonts w:asciiTheme="majorHAnsi" w:hAnsiTheme="majorHAnsi" w:eastAsiaTheme="majorEastAsia" w:cstheme="majorBidi"/>
      <w:b/>
      <w:bCs/>
      <w:sz w:val="32"/>
      <w:szCs w:val="32"/>
    </w:rPr>
  </w:style>
  <w:style w:type="character" w:customStyle="1" w:styleId="17">
    <w:name w:val="页眉 Char"/>
    <w:basedOn w:val="8"/>
    <w:link w:val="6"/>
    <w:semiHidden/>
    <w:qFormat/>
    <w:uiPriority w:val="99"/>
    <w:rPr>
      <w:rFonts w:ascii="Calibri" w:hAnsi="Calibri" w:eastAsia="宋体" w:cs="Times New Roman"/>
      <w:sz w:val="18"/>
      <w:szCs w:val="18"/>
    </w:rPr>
  </w:style>
  <w:style w:type="character" w:customStyle="1" w:styleId="18">
    <w:name w:val="页脚 Char"/>
    <w:basedOn w:val="8"/>
    <w:link w:val="5"/>
    <w:semiHidden/>
    <w:qFormat/>
    <w:uiPriority w:val="99"/>
    <w:rPr>
      <w:rFonts w:ascii="Calibri" w:hAnsi="Calibri" w:eastAsia="宋体" w:cs="Times New Roman"/>
      <w:sz w:val="18"/>
      <w:szCs w:val="18"/>
    </w:rPr>
  </w:style>
  <w:style w:type="paragraph" w:customStyle="1" w:styleId="19">
    <w:name w:val="List Paragraph"/>
    <w:basedOn w:val="1"/>
    <w:qFormat/>
    <w:uiPriority w:val="34"/>
    <w:pPr>
      <w:ind w:firstLine="420" w:firstLineChars="200"/>
    </w:pPr>
  </w:style>
  <w:style w:type="character" w:customStyle="1" w:styleId="20">
    <w:name w:val="two"/>
    <w:basedOn w:val="8"/>
    <w:qFormat/>
    <w:uiPriority w:val="0"/>
  </w:style>
  <w:style w:type="character" w:customStyle="1" w:styleId="21">
    <w:name w:val="one"/>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F1405F-243A-4243-9C7D-6A4232FDFE14}">
  <ds:schemaRefs/>
</ds:datastoreItem>
</file>

<file path=docProps/app.xml><?xml version="1.0" encoding="utf-8"?>
<Properties xmlns="http://schemas.openxmlformats.org/officeDocument/2006/extended-properties" xmlns:vt="http://schemas.openxmlformats.org/officeDocument/2006/docPropsVTypes">
  <Template>Normal.dotm</Template>
  <Company>CUG</Company>
  <Pages>3</Pages>
  <Words>215</Words>
  <Characters>1230</Characters>
  <Lines>10</Lines>
  <Paragraphs>2</Paragraphs>
  <ScaleCrop>false</ScaleCrop>
  <LinksUpToDate>false</LinksUpToDate>
  <CharactersWithSpaces>1443</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2016-05-09T06:48:00Z</dcterms:created>
  <dc:creator>CUG</dc:creator>
  <cp:lastModifiedBy>charlotte</cp:lastModifiedBy>
  <dcterms:modified xsi:type="dcterms:W3CDTF">2016-05-10T02:50:37Z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