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隶书"/>
          <w:b/>
          <w:color w:val="000000"/>
          <w:sz w:val="52"/>
        </w:rPr>
      </w:pPr>
      <w:r>
        <w:rPr>
          <w:rFonts w:hint="eastAsia" w:eastAsia="隶书"/>
          <w:b/>
          <w:color w:val="000000"/>
          <w:sz w:val="52"/>
        </w:rPr>
        <w:t>中国地质大学</w:t>
      </w:r>
    </w:p>
    <w:p>
      <w:pPr>
        <w:jc w:val="center"/>
        <w:outlineLvl w:val="0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专业学位硕士研究生培养方案</w:t>
      </w:r>
    </w:p>
    <w:p>
      <w:pPr>
        <w:jc w:val="center"/>
        <w:outlineLvl w:val="0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（报表）</w:t>
      </w: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outlineLvl w:val="0"/>
        <w:rPr>
          <w:color w:val="000000"/>
          <w:sz w:val="30"/>
        </w:rPr>
      </w:pPr>
      <w:r>
        <w:pict>
          <v:line id="_x0000_s1027" o:spid="_x0000_s1027" o:spt="20" style="position:absolute;left:0pt;margin-left:180.15pt;margin-top:28.5pt;height:0pt;width:175.7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color w:val="000000"/>
          <w:sz w:val="30"/>
        </w:rPr>
        <w:t>专业（领域）代码</w:t>
      </w:r>
    </w:p>
    <w:p>
      <w:pPr>
        <w:rPr>
          <w:color w:val="000000"/>
          <w:sz w:val="30"/>
          <w:u w:val="single"/>
        </w:rPr>
      </w:pPr>
      <w:r>
        <w:pict>
          <v:line id="_x0000_s1026" o:spid="_x0000_s1026" o:spt="20" style="position:absolute;left:0pt;margin-left:181.6pt;margin-top:28.5pt;height:0pt;width:175.7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color w:val="000000"/>
          <w:sz w:val="30"/>
        </w:rPr>
        <w:t>专业（领域）名称</w:t>
      </w:r>
    </w:p>
    <w:p>
      <w:pPr>
        <w:rPr>
          <w:color w:val="000000"/>
          <w:sz w:val="30"/>
        </w:rPr>
      </w:pPr>
    </w:p>
    <w:p>
      <w:pPr>
        <w:outlineLvl w:val="0"/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jc w:val="center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中国地质大学研究生院制表</w:t>
      </w:r>
    </w:p>
    <w:p>
      <w:pPr>
        <w:rPr>
          <w:color w:val="000000"/>
          <w:sz w:val="30"/>
        </w:rPr>
      </w:pPr>
      <w:r>
        <w:rPr>
          <w:rFonts w:hint="eastAsia"/>
          <w:color w:val="000000"/>
          <w:sz w:val="30"/>
          <w:lang w:val="en-US" w:eastAsia="zh-CN"/>
        </w:rPr>
        <w:t xml:space="preserve">                    </w:t>
      </w:r>
      <w:r>
        <w:rPr>
          <w:rFonts w:hint="eastAsia"/>
          <w:color w:val="000000"/>
          <w:sz w:val="30"/>
        </w:rPr>
        <w:t>填表日期：年</w:t>
      </w:r>
      <w:r>
        <w:rPr>
          <w:rFonts w:hint="eastAsia"/>
          <w:color w:val="000000"/>
          <w:sz w:val="30"/>
          <w:lang w:val="en-US" w:eastAsia="zh-CN"/>
        </w:rPr>
        <w:t xml:space="preserve">  </w:t>
      </w:r>
      <w:r>
        <w:rPr>
          <w:rFonts w:hint="eastAsia"/>
          <w:color w:val="000000"/>
          <w:sz w:val="30"/>
        </w:rPr>
        <w:t>月</w:t>
      </w:r>
      <w:r>
        <w:rPr>
          <w:rFonts w:hint="eastAsia"/>
          <w:color w:val="000000"/>
          <w:sz w:val="30"/>
          <w:lang w:val="en-US" w:eastAsia="zh-CN"/>
        </w:rPr>
        <w:t xml:space="preserve">  </w:t>
      </w:r>
      <w:r>
        <w:rPr>
          <w:rFonts w:hint="eastAsia"/>
          <w:color w:val="000000"/>
          <w:sz w:val="30"/>
        </w:rPr>
        <w:t>日</w:t>
      </w:r>
    </w:p>
    <w:p>
      <w:pPr>
        <w:rPr>
          <w:color w:val="000000"/>
        </w:rPr>
      </w:pPr>
    </w:p>
    <w:p>
      <w:pPr>
        <w:rPr>
          <w:rFonts w:eastAsia="楷体_GB2312"/>
          <w:b/>
          <w:color w:val="FF0000"/>
          <w:sz w:val="28"/>
          <w:szCs w:val="28"/>
        </w:rPr>
      </w:pPr>
      <w:r>
        <w:rPr>
          <w:color w:val="000000"/>
        </w:rPr>
        <w:br w:type="page"/>
      </w:r>
      <w:r>
        <w:rPr>
          <w:rFonts w:hint="eastAsia" w:eastAsia="楷体_GB2312"/>
          <w:b/>
          <w:color w:val="FF0000"/>
          <w:sz w:val="28"/>
          <w:szCs w:val="28"/>
        </w:rPr>
        <w:t>一、专业</w:t>
      </w:r>
      <w:r>
        <w:rPr>
          <w:rFonts w:hint="eastAsia" w:eastAsia="楷体_GB2312"/>
          <w:b/>
          <w:color w:val="FF0000"/>
          <w:sz w:val="28"/>
          <w:szCs w:val="28"/>
          <w:lang w:eastAsia="zh-CN"/>
        </w:rPr>
        <w:t>（</w:t>
      </w:r>
      <w:r>
        <w:rPr>
          <w:rFonts w:hint="eastAsia" w:eastAsia="楷体_GB2312"/>
          <w:b/>
          <w:color w:val="FF0000"/>
          <w:sz w:val="28"/>
          <w:szCs w:val="28"/>
        </w:rPr>
        <w:t>领域</w:t>
      </w:r>
      <w:r>
        <w:rPr>
          <w:rFonts w:hint="eastAsia" w:eastAsia="楷体_GB2312"/>
          <w:b/>
          <w:color w:val="FF0000"/>
          <w:sz w:val="28"/>
          <w:szCs w:val="28"/>
          <w:lang w:eastAsia="zh-CN"/>
        </w:rPr>
        <w:t>）</w:t>
      </w:r>
      <w:r>
        <w:rPr>
          <w:rFonts w:hint="eastAsia" w:eastAsia="楷体_GB2312"/>
          <w:b/>
          <w:color w:val="FF0000"/>
          <w:sz w:val="28"/>
          <w:szCs w:val="28"/>
        </w:rPr>
        <w:t>简介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522" w:type="dxa"/>
          </w:tcPr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简单介绍专业（领域）的设置时间、发展状况、国内外地位；主要研究方向和特色；师资队伍和著名学者；主要实验室和设备；项目状况和主要成果；已培养研究生情况及就业方向；明确本专业、本领域与行业资质对接情况。其它需要说明的情况。（限1000字））</w:t>
            </w:r>
          </w:p>
        </w:tc>
      </w:tr>
    </w:tbl>
    <w:p>
      <w:pPr>
        <w:rPr>
          <w:rFonts w:eastAsia="楷体_GB2312"/>
          <w:b/>
          <w:color w:val="FF0000"/>
          <w:sz w:val="28"/>
          <w:szCs w:val="28"/>
        </w:rPr>
      </w:pPr>
      <w:r>
        <w:rPr>
          <w:color w:val="000000"/>
        </w:rPr>
        <w:br w:type="page"/>
      </w:r>
      <w:r>
        <w:rPr>
          <w:rFonts w:hint="eastAsia" w:eastAsia="楷体_GB2312"/>
          <w:b/>
          <w:color w:val="FF0000"/>
          <w:sz w:val="28"/>
          <w:szCs w:val="28"/>
        </w:rPr>
        <w:t>二、</w:t>
      </w:r>
      <w:r>
        <w:rPr>
          <w:rFonts w:hint="eastAsia" w:eastAsia="楷体_GB2312"/>
          <w:b/>
          <w:color w:val="FF0000"/>
          <w:sz w:val="28"/>
          <w:szCs w:val="28"/>
          <w:lang w:eastAsia="zh-CN"/>
        </w:rPr>
        <w:t>专业（领域）</w:t>
      </w:r>
      <w:r>
        <w:rPr>
          <w:rFonts w:hint="eastAsia" w:eastAsia="楷体_GB2312"/>
          <w:b/>
          <w:color w:val="FF0000"/>
          <w:sz w:val="28"/>
          <w:szCs w:val="28"/>
        </w:rPr>
        <w:t>方向与特色</w:t>
      </w:r>
    </w:p>
    <w:tbl>
      <w:tblPr>
        <w:tblStyle w:val="7"/>
        <w:tblW w:w="8980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304"/>
        <w:gridCol w:w="4200"/>
        <w:gridCol w:w="194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33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rFonts w:ascii="宋体"/>
                <w:caps/>
                <w:color w:val="000000"/>
                <w:sz w:val="24"/>
              </w:rPr>
            </w:pPr>
            <w:r>
              <w:rPr>
                <w:rFonts w:hint="eastAsia" w:ascii="宋体"/>
                <w:caps/>
                <w:color w:val="00000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rFonts w:ascii="宋体"/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  <w:lang w:eastAsia="zh-CN"/>
              </w:rPr>
              <w:t>研究</w:t>
            </w:r>
            <w:r>
              <w:rPr>
                <w:rFonts w:hint="eastAsia"/>
                <w:caps/>
                <w:color w:val="FF0000"/>
                <w:sz w:val="24"/>
              </w:rPr>
              <w:t>方向名称</w:t>
            </w:r>
          </w:p>
        </w:tc>
        <w:tc>
          <w:tcPr>
            <w:tcW w:w="4200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caps/>
                <w:color w:val="FF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主要研究</w:t>
            </w:r>
            <w:r>
              <w:rPr>
                <w:rFonts w:hint="eastAsia"/>
                <w:caps/>
                <w:color w:val="FF0000"/>
                <w:sz w:val="24"/>
                <w:lang w:eastAsia="zh-CN"/>
              </w:rPr>
              <w:t>内容</w:t>
            </w:r>
            <w:r>
              <w:rPr>
                <w:rFonts w:hint="eastAsia"/>
                <w:caps/>
                <w:color w:val="FF0000"/>
                <w:sz w:val="24"/>
              </w:rPr>
              <w:t>、特色与优势</w:t>
            </w:r>
          </w:p>
          <w:p>
            <w:pPr>
              <w:jc w:val="center"/>
              <w:rPr>
                <w:rFonts w:ascii="宋体"/>
                <w:caps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rFonts w:ascii="宋体"/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学科带头人及学术骨干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1</w:t>
            </w:r>
          </w:p>
        </w:tc>
        <w:tc>
          <w:tcPr>
            <w:tcW w:w="2304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00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</w:tcPr>
          <w:p>
            <w:pPr>
              <w:adjustRightInd w:val="0"/>
              <w:snapToGrid w:val="0"/>
              <w:jc w:val="left"/>
              <w:rPr>
                <w:rFonts w:hint="eastAsia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Cs w:val="21"/>
                <w:lang w:eastAsia="zh-CN"/>
              </w:rPr>
              <w:t>学术带头人：</w:t>
            </w:r>
            <w:r>
              <w:rPr>
                <w:rFonts w:hint="eastAsia"/>
                <w:b/>
                <w:bCs/>
                <w:color w:val="0000FF"/>
                <w:szCs w:val="21"/>
                <w:lang w:val="en-US" w:eastAsia="zh-CN"/>
              </w:rPr>
              <w:t>1人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FF"/>
                <w:szCs w:val="21"/>
                <w:lang w:val="en-US" w:eastAsia="zh-CN"/>
              </w:rPr>
              <w:t>学术</w:t>
            </w:r>
            <w:r>
              <w:rPr>
                <w:rFonts w:hint="eastAsia"/>
                <w:b/>
                <w:bCs/>
                <w:color w:val="0000FF"/>
                <w:szCs w:val="21"/>
                <w:lang w:eastAsia="zh-CN"/>
              </w:rPr>
              <w:t>骨干：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2</w:t>
            </w:r>
          </w:p>
        </w:tc>
        <w:tc>
          <w:tcPr>
            <w:tcW w:w="2304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00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3</w:t>
            </w:r>
          </w:p>
        </w:tc>
        <w:tc>
          <w:tcPr>
            <w:tcW w:w="2304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00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4</w:t>
            </w:r>
          </w:p>
        </w:tc>
        <w:tc>
          <w:tcPr>
            <w:tcW w:w="2304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00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5</w:t>
            </w:r>
          </w:p>
        </w:tc>
        <w:tc>
          <w:tcPr>
            <w:tcW w:w="2304" w:type="dxa"/>
            <w:tcBorders>
              <w:bottom w:val="double" w:color="000000" w:sz="6" w:space="0"/>
            </w:tcBorders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00" w:type="dxa"/>
            <w:tcBorders>
              <w:bottom w:val="double" w:color="000000" w:sz="6" w:space="0"/>
            </w:tcBorders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bottom w:val="double" w:color="000000" w:sz="6" w:space="0"/>
            </w:tcBorders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eastAsia="楷体_GB2312"/>
          <w:b/>
          <w:color w:val="FF0000"/>
          <w:sz w:val="28"/>
          <w:szCs w:val="28"/>
        </w:rPr>
      </w:pPr>
      <w:r>
        <w:rPr>
          <w:rFonts w:hint="eastAsia"/>
          <w:color w:val="FF0000"/>
        </w:rPr>
        <w:t>注：本表不够可加页</w:t>
      </w:r>
      <w:r>
        <w:rPr>
          <w:rFonts w:hint="eastAsia" w:ascii="宋体"/>
          <w:color w:val="FF0000"/>
          <w:sz w:val="24"/>
        </w:rPr>
        <w:t>。</w:t>
      </w:r>
      <w:r>
        <w:rPr>
          <w:color w:val="000000"/>
        </w:rPr>
        <w:br w:type="page"/>
      </w:r>
      <w:r>
        <w:rPr>
          <w:rFonts w:hint="eastAsia" w:eastAsia="楷体_GB2312"/>
          <w:b/>
          <w:color w:val="FF0000"/>
          <w:sz w:val="28"/>
          <w:szCs w:val="28"/>
        </w:rPr>
        <w:t>三、培养目标与学习年限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培养目标：（</w:t>
            </w:r>
            <w:r>
              <w:rPr>
                <w:rFonts w:hint="eastAsia"/>
                <w:color w:val="000000"/>
              </w:rPr>
              <w:t>结合教育部有关规定和其他院校相关专业培养要求，对研究生在思想品德、基础理论、专业知识、独立工作能力、实验动手能力、创新能力等方面提出要求，特别是体现本专业</w:t>
            </w:r>
            <w:r>
              <w:rPr>
                <w:rFonts w:hint="eastAsia"/>
                <w:color w:val="000000"/>
                <w:lang w:eastAsia="zh-CN"/>
              </w:rPr>
              <w:t>（领域）</w:t>
            </w:r>
            <w:r>
              <w:rPr>
                <w:rFonts w:hint="eastAsia"/>
                <w:color w:val="000000"/>
              </w:rPr>
              <w:t>的特定要求。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>
            <w:pPr>
              <w:ind w:left="1004" w:right="280" w:hanging="1004"/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Cs w:val="21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学习年限：</w:t>
            </w:r>
          </w:p>
          <w:p>
            <w:pPr>
              <w:ind w:firstLine="480" w:firstLineChars="200"/>
              <w:rPr>
                <w:color w:val="000000"/>
                <w:sz w:val="24"/>
              </w:rPr>
            </w:pPr>
          </w:p>
          <w:p>
            <w:pPr>
              <w:ind w:firstLine="749" w:firstLineChars="31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实行弹性修业年限，</w:t>
            </w:r>
            <w:r>
              <w:rPr>
                <w:rFonts w:hint="eastAsia"/>
                <w:color w:val="000000"/>
                <w:sz w:val="24"/>
              </w:rPr>
              <w:t>基本</w:t>
            </w:r>
            <w:r>
              <w:rPr>
                <w:rFonts w:hint="eastAsia"/>
                <w:color w:val="000000"/>
                <w:sz w:val="24"/>
                <w:lang w:eastAsia="zh-CN"/>
              </w:rPr>
              <w:t>修业年限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年，最长不超过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年。</w:t>
            </w:r>
          </w:p>
          <w:p>
            <w:pPr>
              <w:rPr>
                <w:b/>
                <w:color w:val="000000"/>
                <w:sz w:val="30"/>
              </w:rPr>
            </w:pPr>
          </w:p>
        </w:tc>
      </w:tr>
    </w:tbl>
    <w:p>
      <w:pPr>
        <w:rPr>
          <w:rFonts w:eastAsia="楷体_GB2312"/>
          <w:b/>
          <w:color w:val="FF0000"/>
          <w:sz w:val="28"/>
          <w:szCs w:val="28"/>
        </w:rPr>
      </w:pPr>
      <w:r>
        <w:rPr>
          <w:color w:val="000000"/>
        </w:rPr>
        <w:br w:type="page"/>
      </w:r>
      <w:r>
        <w:rPr>
          <w:rFonts w:hint="eastAsia" w:eastAsia="楷体_GB2312"/>
          <w:b/>
          <w:color w:val="FF0000"/>
          <w:sz w:val="28"/>
          <w:szCs w:val="28"/>
        </w:rPr>
        <w:t>四、课程设置</w:t>
      </w:r>
    </w:p>
    <w:p>
      <w:pPr>
        <w:pStyle w:val="3"/>
        <w:ind w:left="-178" w:leftChars="-85"/>
        <w:rPr>
          <w:rFonts w:hAnsi="宋体"/>
          <w:b/>
          <w:bCs/>
          <w:color w:val="000000"/>
        </w:rPr>
      </w:pPr>
      <w:r>
        <w:rPr>
          <w:rFonts w:hint="eastAsia"/>
          <w:b/>
          <w:bCs/>
          <w:color w:val="000000"/>
        </w:rPr>
        <w:t>（以下为全日制工程硕士课程设置示例，工程硕士</w:t>
      </w:r>
      <w:r>
        <w:rPr>
          <w:rFonts w:hint="eastAsia"/>
          <w:b/>
          <w:bCs/>
          <w:color w:val="000000"/>
          <w:lang w:eastAsia="zh-CN"/>
        </w:rPr>
        <w:t>总学分</w:t>
      </w:r>
      <w:r>
        <w:rPr>
          <w:rFonts w:hint="eastAsia"/>
          <w:b/>
          <w:bCs/>
          <w:color w:val="000000"/>
        </w:rPr>
        <w:t>至少修满</w:t>
      </w:r>
      <w:r>
        <w:rPr>
          <w:b/>
          <w:bCs/>
          <w:color w:val="000000"/>
        </w:rPr>
        <w:t>32</w:t>
      </w:r>
      <w:r>
        <w:rPr>
          <w:rFonts w:hint="eastAsia"/>
          <w:b/>
          <w:bCs/>
          <w:color w:val="000000"/>
        </w:rPr>
        <w:t>学分。其他专业学位按各全国各专业教指委文件要求制定，学分要求详见附件</w:t>
      </w:r>
      <w:r>
        <w:rPr>
          <w:b/>
          <w:bCs/>
          <w:color w:val="000000"/>
        </w:rPr>
        <w:t>8</w:t>
      </w:r>
      <w:r>
        <w:rPr>
          <w:rFonts w:hint="eastAsia"/>
          <w:b/>
          <w:bCs/>
          <w:color w:val="000000"/>
        </w:rPr>
        <w:t>）</w:t>
      </w:r>
    </w:p>
    <w:tbl>
      <w:tblPr>
        <w:tblStyle w:val="7"/>
        <w:tblW w:w="9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13"/>
        <w:gridCol w:w="2131"/>
        <w:gridCol w:w="600"/>
        <w:gridCol w:w="1524"/>
        <w:gridCol w:w="828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</w:tcPr>
          <w:p>
            <w:pPr>
              <w:ind w:left="-105" w:leftChars="-50" w:right="-105" w:rightChars="-5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类别</w:t>
            </w:r>
          </w:p>
        </w:tc>
        <w:tc>
          <w:tcPr>
            <w:tcW w:w="713" w:type="dxa"/>
          </w:tcPr>
          <w:p>
            <w:pPr>
              <w:spacing w:beforeLines="50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课程编号</w:t>
            </w: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600" w:type="dxa"/>
          </w:tcPr>
          <w:p>
            <w:pPr>
              <w:spacing w:beforeLines="50"/>
              <w:ind w:left="-105" w:leftChars="-50" w:right="-105" w:rightChars="-5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学时</w:t>
            </w:r>
          </w:p>
        </w:tc>
        <w:tc>
          <w:tcPr>
            <w:tcW w:w="1524" w:type="dxa"/>
          </w:tcPr>
          <w:p>
            <w:pPr>
              <w:spacing w:beforeLines="50"/>
              <w:ind w:left="-105" w:leftChars="-50" w:right="-105" w:rightChars="-5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学分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开课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学期</w:t>
            </w:r>
          </w:p>
        </w:tc>
        <w:tc>
          <w:tcPr>
            <w:tcW w:w="2518" w:type="dxa"/>
          </w:tcPr>
          <w:p>
            <w:pPr>
              <w:spacing w:beforeLines="50"/>
              <w:ind w:left="-105" w:leftChars="-50" w:right="-105" w:rightChars="-5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11" w:hRule="atLeast"/>
          <w:jc w:val="center"/>
        </w:trPr>
        <w:tc>
          <w:tcPr>
            <w:tcW w:w="1102" w:type="dxa"/>
            <w:vMerge w:val="restart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位</w:t>
            </w: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课</w:t>
            </w: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（≥</w:t>
            </w:r>
            <w:r>
              <w:rPr>
                <w:rFonts w:ascii="宋体" w:hAnsi="宋体"/>
                <w:color w:val="000000"/>
              </w:rPr>
              <w:t>16</w:t>
            </w:r>
            <w:r>
              <w:rPr>
                <w:rFonts w:hint="eastAsia" w:ascii="宋体" w:hAnsi="宋体"/>
                <w:color w:val="000000"/>
              </w:rPr>
              <w:t>学分）</w:t>
            </w:r>
          </w:p>
        </w:tc>
        <w:tc>
          <w:tcPr>
            <w:tcW w:w="713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自然辩证法概论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18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828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2518" w:type="dxa"/>
          </w:tcPr>
          <w:p>
            <w:pPr>
              <w:spacing w:beforeLines="50"/>
              <w:ind w:left="-105" w:leftChars="-50" w:right="-105" w:rightChars="-5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必修，马克思主义学院开课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102" w:type="dxa"/>
            <w:vMerge w:val="continue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713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基础英语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48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828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2518" w:type="dxa"/>
          </w:tcPr>
          <w:p>
            <w:pPr>
              <w:spacing w:beforeLines="50"/>
              <w:ind w:left="-105" w:leftChars="-50" w:right="-105" w:rightChars="-5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必修，外国语学院开课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102" w:type="dxa"/>
            <w:vMerge w:val="continue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713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专业英语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16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828" w:type="dxa"/>
          </w:tcPr>
          <w:p>
            <w:pPr>
              <w:spacing w:beforeLines="50"/>
              <w:ind w:left="-105" w:leftChars="-50" w:right="-105" w:rightChars="-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2518" w:type="dxa"/>
          </w:tcPr>
          <w:p>
            <w:pPr>
              <w:spacing w:beforeLines="50"/>
              <w:ind w:left="-105" w:leftChars="-50" w:right="-105" w:rightChars="-5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必修，学院自行开课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2" w:type="dxa"/>
            <w:vMerge w:val="continue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713" w:type="dxa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应用数学类课程列出至少</w:t>
            </w: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门</w:t>
            </w: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如：多元统计、数值分析、数理统计、</w:t>
            </w:r>
            <w:r>
              <w:rPr>
                <w:rFonts w:hint="eastAsia" w:ascii="宋体" w:hAnsi="宋体"/>
                <w:b/>
                <w:bCs/>
                <w:color w:val="000000"/>
              </w:rPr>
              <w:t>泛函分析</w:t>
            </w:r>
            <w:r>
              <w:rPr>
                <w:rFonts w:hint="eastAsia" w:ascii="宋体" w:hAnsi="宋体"/>
                <w:color w:val="000000"/>
              </w:rPr>
              <w:t>、数学物理方程等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48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828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2518" w:type="dxa"/>
          </w:tcPr>
          <w:p>
            <w:pPr>
              <w:spacing w:beforeLines="50"/>
              <w:ind w:left="-105" w:leftChars="-50" w:right="-105" w:rightChars="-5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数学与物理学院开课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102" w:type="dxa"/>
            <w:vMerge w:val="continue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713" w:type="dxa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行业发展前沿讲座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48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828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或</w:t>
            </w: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2518" w:type="dxa"/>
          </w:tcPr>
          <w:p>
            <w:pPr>
              <w:spacing w:beforeLines="50"/>
              <w:ind w:left="-105" w:leftChars="-50" w:right="-105" w:rightChars="-5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必修，学院自行开课（考核方式为报告答辩）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102" w:type="dxa"/>
            <w:vMerge w:val="continue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713" w:type="dxa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与职业资质相匹配课程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48-54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3-4</w:t>
            </w:r>
          </w:p>
        </w:tc>
        <w:tc>
          <w:tcPr>
            <w:tcW w:w="828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或</w:t>
            </w: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2518" w:type="dxa"/>
          </w:tcPr>
          <w:p>
            <w:pPr>
              <w:spacing w:beforeLines="50"/>
              <w:ind w:left="-105" w:leftChars="-50" w:right="-105" w:rightChars="-50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102" w:type="dxa"/>
            <w:vMerge w:val="continue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713" w:type="dxa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专业课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48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828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或</w:t>
            </w: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2518" w:type="dxa"/>
          </w:tcPr>
          <w:p>
            <w:pPr>
              <w:spacing w:beforeLines="50"/>
              <w:ind w:left="-105" w:leftChars="-50" w:right="-105" w:rightChars="-5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以下课程精简到</w:t>
            </w:r>
            <w:r>
              <w:rPr>
                <w:rFonts w:ascii="宋体" w:hAnsi="宋体"/>
                <w:color w:val="000000"/>
              </w:rPr>
              <w:t>6</w:t>
            </w:r>
            <w:r>
              <w:rPr>
                <w:rFonts w:hint="eastAsia" w:ascii="宋体" w:hAnsi="宋体"/>
                <w:color w:val="000000"/>
              </w:rPr>
              <w:t>门左右，任选</w:t>
            </w:r>
            <w:r>
              <w:rPr>
                <w:rFonts w:ascii="宋体" w:hAnsi="宋体"/>
                <w:color w:val="000000"/>
              </w:rPr>
              <w:t>1-2</w:t>
            </w:r>
            <w:r>
              <w:rPr>
                <w:rFonts w:hint="eastAsia" w:ascii="宋体" w:hAnsi="宋体"/>
                <w:color w:val="000000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" w:type="dxa"/>
            <w:vMerge w:val="restart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选</w:t>
            </w: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修</w:t>
            </w: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课</w:t>
            </w: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（≥</w:t>
            </w:r>
            <w:r>
              <w:rPr>
                <w:rFonts w:ascii="宋体" w:hAnsi="宋体"/>
                <w:color w:val="000000"/>
              </w:rPr>
              <w:t>10</w:t>
            </w:r>
            <w:r>
              <w:rPr>
                <w:rFonts w:hint="eastAsia" w:ascii="宋体" w:hAnsi="宋体"/>
                <w:color w:val="000000"/>
              </w:rPr>
              <w:t>学分）</w:t>
            </w:r>
          </w:p>
        </w:tc>
        <w:tc>
          <w:tcPr>
            <w:tcW w:w="713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工程伦理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32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2</w:t>
            </w:r>
          </w:p>
        </w:tc>
        <w:tc>
          <w:tcPr>
            <w:tcW w:w="828" w:type="dxa"/>
          </w:tcPr>
          <w:p>
            <w:pPr>
              <w:spacing w:beforeLines="5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1</w:t>
            </w:r>
          </w:p>
        </w:tc>
        <w:tc>
          <w:tcPr>
            <w:tcW w:w="2518" w:type="dxa"/>
          </w:tcPr>
          <w:p>
            <w:pPr>
              <w:spacing w:beforeLines="50"/>
              <w:jc w:val="left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必修，公共选修课，研究生院开课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102" w:type="dxa"/>
            <w:vMerge w:val="continue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713" w:type="dxa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bCs/>
                <w:color w:val="000000"/>
                <w:spacing w:val="1"/>
                <w:szCs w:val="21"/>
              </w:rPr>
            </w:pPr>
            <w:r>
              <w:rPr>
                <w:rFonts w:hint="eastAsia"/>
                <w:bCs/>
                <w:color w:val="000000"/>
                <w:spacing w:val="1"/>
                <w:szCs w:val="21"/>
              </w:rPr>
              <w:t>知识产权法</w:t>
            </w:r>
          </w:p>
          <w:p>
            <w:pPr>
              <w:spacing w:beforeLines="50"/>
              <w:jc w:val="center"/>
              <w:rPr>
                <w:bCs/>
                <w:color w:val="000000"/>
                <w:spacing w:val="1"/>
                <w:szCs w:val="21"/>
              </w:rPr>
            </w:pPr>
            <w:r>
              <w:rPr>
                <w:rFonts w:hint="eastAsia"/>
                <w:bCs/>
                <w:color w:val="000000"/>
                <w:spacing w:val="1"/>
                <w:szCs w:val="21"/>
              </w:rPr>
              <w:t>（非必修，学院自定）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32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828" w:type="dxa"/>
          </w:tcPr>
          <w:p>
            <w:pPr>
              <w:spacing w:beforeLine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2518" w:type="dxa"/>
          </w:tcPr>
          <w:p>
            <w:pPr>
              <w:spacing w:beforeLines="5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任选，</w:t>
            </w:r>
            <w:r>
              <w:rPr>
                <w:rFonts w:hint="eastAsia" w:ascii="宋体" w:hAnsi="宋体"/>
                <w:color w:val="000000"/>
              </w:rPr>
              <w:t>公共管理学院开课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102" w:type="dxa"/>
            <w:vMerge w:val="continue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713" w:type="dxa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信息检索与利用</w:t>
            </w:r>
          </w:p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（非必修，学院自定）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32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828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2518" w:type="dxa"/>
          </w:tcPr>
          <w:p>
            <w:pPr>
              <w:spacing w:beforeLines="5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任选，</w:t>
            </w:r>
            <w:r>
              <w:rPr>
                <w:rFonts w:hint="eastAsia" w:ascii="宋体" w:hAnsi="宋体"/>
                <w:color w:val="000000"/>
              </w:rPr>
              <w:t>图书馆开课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" w:type="dxa"/>
            <w:vMerge w:val="continue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713" w:type="dxa"/>
          </w:tcPr>
          <w:p>
            <w:pPr>
              <w:spacing w:beforeLines="50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专业选修课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48</w:t>
            </w: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828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或</w:t>
            </w: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2518" w:type="dxa"/>
          </w:tcPr>
          <w:p>
            <w:pPr>
              <w:ind w:left="-107" w:leftChars="-51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以下课程精简到</w:t>
            </w:r>
            <w:r>
              <w:rPr>
                <w:rFonts w:ascii="宋体" w:hAnsi="宋体"/>
                <w:color w:val="000000"/>
              </w:rPr>
              <w:t>8</w:t>
            </w:r>
            <w:r>
              <w:rPr>
                <w:rFonts w:hint="eastAsia" w:ascii="宋体" w:hAnsi="宋体"/>
                <w:color w:val="000000"/>
              </w:rPr>
              <w:t>门左右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02" w:type="dxa"/>
          </w:tcPr>
          <w:p>
            <w:pPr>
              <w:spacing w:beforeLines="5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实践环节（全日制</w:t>
            </w:r>
            <w:r>
              <w:rPr>
                <w:rFonts w:ascii="宋体" w:hAnsi="宋体"/>
                <w:color w:val="000000"/>
              </w:rPr>
              <w:t>6</w:t>
            </w:r>
            <w:r>
              <w:rPr>
                <w:rFonts w:hint="eastAsia" w:ascii="宋体" w:hAnsi="宋体"/>
                <w:color w:val="000000"/>
              </w:rPr>
              <w:t>学分）</w:t>
            </w:r>
          </w:p>
        </w:tc>
        <w:tc>
          <w:tcPr>
            <w:tcW w:w="713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工程实践</w:t>
            </w:r>
          </w:p>
        </w:tc>
        <w:tc>
          <w:tcPr>
            <w:tcW w:w="600" w:type="dxa"/>
          </w:tcPr>
          <w:p>
            <w:pPr>
              <w:spacing w:beforeLines="5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24" w:type="dxa"/>
          </w:tcPr>
          <w:p>
            <w:pPr>
              <w:spacing w:beforeLines="50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全日制</w:t>
            </w:r>
            <w:r>
              <w:rPr>
                <w:rFonts w:ascii="宋体" w:hAnsi="宋体"/>
                <w:color w:val="000000"/>
              </w:rPr>
              <w:t>6</w:t>
            </w:r>
            <w:r>
              <w:rPr>
                <w:rFonts w:hint="eastAsia" w:ascii="宋体" w:hAnsi="宋体"/>
                <w:color w:val="000000"/>
                <w:lang w:eastAsia="zh-CN"/>
              </w:rPr>
              <w:t>学分</w:t>
            </w:r>
          </w:p>
          <w:p>
            <w:pPr>
              <w:spacing w:beforeLines="5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在职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  <w:lang w:eastAsia="zh-CN"/>
              </w:rPr>
              <w:t>学分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vAlign w:val="center"/>
          </w:tcPr>
          <w:p>
            <w:pPr>
              <w:spacing w:beforeLines="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3（全日制）</w:t>
            </w:r>
          </w:p>
        </w:tc>
        <w:tc>
          <w:tcPr>
            <w:tcW w:w="2518" w:type="dxa"/>
            <w:vAlign w:val="center"/>
          </w:tcPr>
          <w:p>
            <w:pPr>
              <w:spacing w:beforeLines="50"/>
              <w:jc w:val="left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全日制专业学位</w:t>
            </w:r>
            <w:r>
              <w:rPr>
                <w:rFonts w:hint="eastAsia" w:ascii="宋体" w:hAnsi="宋体"/>
                <w:color w:val="000000"/>
              </w:rPr>
              <w:t>必修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</w:p>
          <w:p>
            <w:pPr>
              <w:spacing w:beforeLines="5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非全日制专业学位选修，</w:t>
            </w:r>
          </w:p>
          <w:p>
            <w:pPr>
              <w:spacing w:beforeLines="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完成实践手册获得学分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8314" w:type="dxa"/>
            <w:gridSpan w:val="6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</w:rPr>
              <w:t>1.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非全日制专业学位选修课中，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  <w:lang w:eastAsia="zh-CN"/>
              </w:rPr>
              <w:t>如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减少实践环节，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适当增加</w:t>
            </w:r>
            <w:r>
              <w:rPr>
                <w:rFonts w:ascii="黑体" w:hAnsi="黑体" w:eastAsia="黑体"/>
                <w:bCs/>
                <w:color w:val="000000"/>
                <w:szCs w:val="21"/>
              </w:rPr>
              <w:t>1-2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门选修课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  <w:lang w:eastAsia="zh-CN"/>
              </w:rPr>
              <w:t>，保证非全日制专业学位总学分至少修满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  <w:lang w:val="en-US" w:eastAsia="zh-CN"/>
              </w:rPr>
              <w:t>28学分。</w:t>
            </w:r>
          </w:p>
          <w:p>
            <w:pPr>
              <w:rPr>
                <w:rFonts w:ascii="黑体" w:hAnsi="黑体" w:eastAsia="黑体"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全日制专业学位研究生第三学期不安排授课，保证</w:t>
            </w:r>
            <w:r>
              <w:rPr>
                <w:rFonts w:ascii="黑体" w:hAnsi="黑体" w:eastAsia="黑体"/>
                <w:bCs/>
                <w:color w:val="000000"/>
                <w:szCs w:val="21"/>
              </w:rPr>
              <w:t>6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个月的实践教学时间。</w:t>
            </w:r>
          </w:p>
        </w:tc>
      </w:tr>
    </w:tbl>
    <w:p>
      <w:pPr>
        <w:rPr>
          <w:b/>
          <w:bCs/>
          <w:color w:val="000000"/>
          <w:sz w:val="24"/>
        </w:rPr>
      </w:pPr>
      <w:r>
        <w:rPr>
          <w:rFonts w:hint="eastAsia"/>
          <w:bCs/>
          <w:spacing w:val="1"/>
          <w:sz w:val="18"/>
          <w:szCs w:val="18"/>
        </w:rPr>
        <w:t>说明：①各培养单位自定必修及选修课程，列入培养方案；②所有列入培养方案的课程，原则上只要有学生定制培养计划，必须开课；③培养计划定制人数</w:t>
      </w:r>
      <w:r>
        <w:rPr>
          <w:bCs/>
          <w:spacing w:val="1"/>
          <w:sz w:val="18"/>
          <w:szCs w:val="18"/>
        </w:rPr>
        <w:t>≥20</w:t>
      </w:r>
      <w:r>
        <w:rPr>
          <w:rFonts w:hint="eastAsia"/>
          <w:bCs/>
          <w:spacing w:val="1"/>
          <w:sz w:val="18"/>
          <w:szCs w:val="18"/>
        </w:rPr>
        <w:t>人的课程由培养处排课，培养计划定制人数</w:t>
      </w:r>
      <w:r>
        <w:rPr>
          <w:rFonts w:hint="eastAsia" w:ascii="宋体" w:hAnsi="宋体" w:cs="宋体"/>
          <w:bCs/>
          <w:spacing w:val="1"/>
          <w:sz w:val="18"/>
          <w:szCs w:val="18"/>
        </w:rPr>
        <w:t>≦</w:t>
      </w:r>
      <w:r>
        <w:rPr>
          <w:bCs/>
          <w:spacing w:val="1"/>
          <w:sz w:val="18"/>
          <w:szCs w:val="18"/>
        </w:rPr>
        <w:t>19</w:t>
      </w:r>
      <w:r>
        <w:rPr>
          <w:rFonts w:hint="eastAsia"/>
          <w:bCs/>
          <w:spacing w:val="1"/>
          <w:sz w:val="18"/>
          <w:szCs w:val="18"/>
        </w:rPr>
        <w:t>人的课程由学院单独开课；④新生年级培养计划每年</w:t>
      </w:r>
      <w:r>
        <w:rPr>
          <w:bCs/>
          <w:spacing w:val="1"/>
          <w:sz w:val="18"/>
          <w:szCs w:val="18"/>
        </w:rPr>
        <w:t>9</w:t>
      </w:r>
      <w:r>
        <w:rPr>
          <w:rFonts w:hint="eastAsia"/>
          <w:bCs/>
          <w:spacing w:val="1"/>
          <w:sz w:val="18"/>
          <w:szCs w:val="18"/>
        </w:rPr>
        <w:t>月</w:t>
      </w:r>
      <w:r>
        <w:rPr>
          <w:bCs/>
          <w:spacing w:val="1"/>
          <w:sz w:val="18"/>
          <w:szCs w:val="18"/>
        </w:rPr>
        <w:t>30</w:t>
      </w:r>
      <w:r>
        <w:rPr>
          <w:rFonts w:hint="eastAsia"/>
          <w:bCs/>
          <w:spacing w:val="1"/>
          <w:sz w:val="18"/>
          <w:szCs w:val="18"/>
        </w:rPr>
        <w:t>日确定后，原则上不得修改；⑤开课学期应明确具体学期，切勿用</w:t>
      </w:r>
      <w:r>
        <w:rPr>
          <w:bCs/>
          <w:spacing w:val="1"/>
          <w:sz w:val="18"/>
          <w:szCs w:val="18"/>
        </w:rPr>
        <w:t>1-2</w:t>
      </w:r>
      <w:r>
        <w:rPr>
          <w:rFonts w:hint="eastAsia"/>
          <w:bCs/>
          <w:spacing w:val="1"/>
          <w:sz w:val="18"/>
          <w:szCs w:val="18"/>
        </w:rPr>
        <w:t>、</w:t>
      </w:r>
      <w:r>
        <w:rPr>
          <w:bCs/>
          <w:spacing w:val="1"/>
          <w:sz w:val="18"/>
          <w:szCs w:val="18"/>
        </w:rPr>
        <w:t>1-3</w:t>
      </w:r>
      <w:r>
        <w:rPr>
          <w:rFonts w:hint="eastAsia"/>
          <w:bCs/>
          <w:spacing w:val="1"/>
          <w:sz w:val="18"/>
          <w:szCs w:val="18"/>
        </w:rPr>
        <w:t>、</w:t>
      </w:r>
      <w:r>
        <w:rPr>
          <w:bCs/>
          <w:spacing w:val="1"/>
          <w:sz w:val="18"/>
          <w:szCs w:val="18"/>
        </w:rPr>
        <w:t>2-3</w:t>
      </w:r>
      <w:r>
        <w:rPr>
          <w:rFonts w:hint="eastAsia"/>
          <w:bCs/>
          <w:spacing w:val="1"/>
          <w:sz w:val="18"/>
          <w:szCs w:val="18"/>
        </w:rPr>
        <w:t>等模糊字段。</w:t>
      </w:r>
    </w:p>
    <w:p>
      <w:pPr>
        <w:pStyle w:val="2"/>
        <w:pageBreakBefore/>
        <w:tabs>
          <w:tab w:val="left" w:pos="432"/>
        </w:tabs>
        <w:suppressAutoHyphens/>
        <w:rPr>
          <w:sz w:val="24"/>
        </w:rPr>
      </w:pPr>
      <w:r>
        <w:rPr>
          <w:rFonts w:hint="eastAsia"/>
          <w:sz w:val="32"/>
        </w:rPr>
        <w:t>课程内容大纲</w:t>
      </w:r>
    </w:p>
    <w:tbl>
      <w:tblPr>
        <w:tblStyle w:val="7"/>
        <w:tblW w:w="929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课程编号：开课学期：</w:t>
            </w:r>
            <w:r>
              <w:rPr>
                <w:sz w:val="24"/>
              </w:rPr>
              <w:t xml:space="preserve">2     </w:t>
            </w:r>
            <w:r>
              <w:rPr>
                <w:rFonts w:hint="eastAsia"/>
                <w:b/>
                <w:sz w:val="24"/>
              </w:rPr>
              <w:t>周学时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总学时：</w:t>
            </w:r>
            <w:r>
              <w:rPr>
                <w:sz w:val="24"/>
              </w:rPr>
              <w:t xml:space="preserve">4/48      </w:t>
            </w:r>
            <w:r>
              <w:rPr>
                <w:rFonts w:hint="eastAsia"/>
                <w:b/>
                <w:sz w:val="24"/>
              </w:rPr>
              <w:t>学分：</w:t>
            </w:r>
            <w:r>
              <w:rPr>
                <w:sz w:val="24"/>
              </w:rPr>
              <w:t>3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课程中文名称：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课程英文名称：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教学方式：</w:t>
            </w:r>
            <w:r>
              <w:rPr>
                <w:rFonts w:hint="eastAsia"/>
                <w:sz w:val="24"/>
              </w:rPr>
              <w:t>授课与自学</w:t>
            </w:r>
            <w:r>
              <w:rPr>
                <w:rFonts w:hint="eastAsia"/>
                <w:b/>
                <w:sz w:val="24"/>
              </w:rPr>
              <w:t>考核与成绩评定方式：</w:t>
            </w:r>
            <w:r>
              <w:rPr>
                <w:rFonts w:hint="eastAsia"/>
                <w:sz w:val="24"/>
              </w:rPr>
              <w:t>课程论文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考试（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选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>
            <w:r>
              <w:rPr>
                <w:rFonts w:hint="eastAsia"/>
                <w:b/>
                <w:sz w:val="24"/>
              </w:rPr>
              <w:t>任课教师（至少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人）：</w:t>
            </w:r>
            <w:r>
              <w:rPr>
                <w:rFonts w:hint="eastAsia"/>
                <w:sz w:val="24"/>
              </w:rPr>
              <w:t>成秋明、陈建国、陈守余、牛瑞卿等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课程简介：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（要求中英文课程简介都有，中文简介后加英文简介）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课程内容：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第一讲：地球信息技术的基本概念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第二讲：地质信息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第三讲：地球物理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第四讲：地球化学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第五讲：遥感技术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第六讲：数学地质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第七讲：</w:t>
            </w:r>
            <w:r>
              <w:t>GIS</w:t>
            </w:r>
            <w:r>
              <w:rPr>
                <w:rFonts w:hint="eastAsia"/>
              </w:rPr>
              <w:t>技术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第八讲：数据挖掘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第九讲：信息系统开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教学方法与手段：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先修课程及后续课程：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教材及参考书：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《沉积盆地分析基础与应用》李思田等，高等教育出版社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《海洋底构造导论》任建业主编，中国地质大学出版社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海洋与第四纪地质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2.Marine Geology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>
      <w:pPr>
        <w:pStyle w:val="11"/>
        <w:rPr>
          <w:sz w:val="24"/>
        </w:rPr>
      </w:pPr>
      <w:r>
        <w:rPr>
          <w:rFonts w:hint="eastAsia"/>
          <w:b/>
          <w:bCs/>
          <w:sz w:val="24"/>
          <w:u w:val="single"/>
        </w:rPr>
        <w:t>注：本院系开设的每门课程都须填写此表。</w:t>
      </w:r>
    </w:p>
    <w:p>
      <w:pPr>
        <w:rPr>
          <w:rFonts w:ascii="宋体" w:cs="宋体"/>
          <w:b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rFonts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五、</w:t>
      </w:r>
      <w:r>
        <w:rPr>
          <w:rFonts w:hint="eastAsia" w:eastAsia="楷体_GB2312"/>
          <w:b/>
          <w:sz w:val="28"/>
          <w:szCs w:val="28"/>
          <w:lang w:eastAsia="zh-CN"/>
        </w:rPr>
        <w:t>必读</w:t>
      </w:r>
      <w:r>
        <w:rPr>
          <w:rFonts w:hint="eastAsia" w:eastAsia="楷体_GB2312"/>
          <w:b/>
          <w:sz w:val="28"/>
          <w:szCs w:val="28"/>
        </w:rPr>
        <w:t>经典著作和专业学术期刊目录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>著作或期刊的名称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>作者或出版单位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5" w:hRule="atLeast"/>
        </w:trPr>
        <w:tc>
          <w:tcPr>
            <w:tcW w:w="8522" w:type="dxa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eastAsia="zh-CN"/>
              </w:rPr>
              <w:t>必读</w:t>
            </w:r>
            <w:r>
              <w:rPr>
                <w:rFonts w:hint="eastAsia"/>
                <w:b/>
                <w:color w:val="000000"/>
                <w:sz w:val="24"/>
              </w:rPr>
              <w:t>专著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《沉积盆地分析基础与应用》李思田等，高等教育出版社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《海洋底构造导论》任建业主编，中国地质大学出版社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《沉积盆地分析基础》解习农，任建业主编，中国地质大学出版社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color w:val="000000"/>
                <w:szCs w:val="21"/>
              </w:rPr>
              <w:t>Global Tectonics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color w:val="000000"/>
                <w:szCs w:val="21"/>
              </w:rPr>
              <w:t>Philip Kearey</w:t>
            </w:r>
            <w:r>
              <w:rPr>
                <w:rFonts w:hint="eastAsia"/>
                <w:color w:val="000000"/>
                <w:szCs w:val="21"/>
              </w:rPr>
              <w:t>等，</w:t>
            </w:r>
            <w:r>
              <w:rPr>
                <w:color w:val="000000"/>
                <w:szCs w:val="21"/>
              </w:rPr>
              <w:t>Wiley-Blackwell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Wiley-Blackwell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color w:val="000000"/>
                <w:szCs w:val="21"/>
              </w:rPr>
              <w:t>Marine geophysics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color w:val="000000"/>
                <w:szCs w:val="21"/>
              </w:rPr>
              <w:t>Jones, E.J.W., Chichester; New York, Wiley</w:t>
            </w:r>
          </w:p>
          <w:p>
            <w:pPr>
              <w:jc w:val="left"/>
              <w:rPr>
                <w:b/>
                <w:color w:val="000000"/>
                <w:sz w:val="24"/>
              </w:rPr>
            </w:pPr>
          </w:p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期刊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6  </w:t>
            </w:r>
            <w:r>
              <w:rPr>
                <w:rFonts w:hint="eastAsia"/>
                <w:color w:val="000000"/>
                <w:szCs w:val="21"/>
              </w:rPr>
              <w:t>海洋与第四纪地质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  Marine Geology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  Marine and Petroleum Geology</w:t>
            </w:r>
          </w:p>
          <w:p>
            <w:pPr>
              <w:jc w:val="left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</w:tc>
      </w:tr>
    </w:tbl>
    <w:p>
      <w:pPr>
        <w:rPr>
          <w:rFonts w:hint="eastAsia" w:eastAsia="楷体_GB2312"/>
          <w:b/>
          <w:sz w:val="28"/>
          <w:szCs w:val="28"/>
          <w:lang w:eastAsia="zh-CN"/>
        </w:rPr>
      </w:pPr>
      <w:r>
        <w:rPr>
          <w:rFonts w:ascii="楷体_GB2312" w:eastAsia="楷体_GB2312"/>
          <w:color w:val="000000"/>
          <w:sz w:val="24"/>
        </w:rPr>
        <w:br w:type="page"/>
      </w:r>
      <w:r>
        <w:rPr>
          <w:rFonts w:hint="eastAsia" w:eastAsia="楷体_GB2312"/>
          <w:b/>
          <w:sz w:val="28"/>
          <w:szCs w:val="28"/>
          <w:lang w:eastAsia="zh-CN"/>
        </w:rPr>
        <w:t>六、实践能力与水平的基本要求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720" w:type="dxa"/>
          </w:tcPr>
          <w:p>
            <w:pPr>
              <w:rPr>
                <w:rFonts w:ascii="宋体" w:hAnsi="Courier New" w:cs="Courier New"/>
                <w:color w:val="000000"/>
                <w:sz w:val="24"/>
              </w:rPr>
            </w:pPr>
            <w:r>
              <w:rPr>
                <w:rFonts w:hint="eastAsia" w:ascii="宋体" w:hAnsi="Courier New" w:cs="Courier New"/>
                <w:color w:val="000000"/>
                <w:sz w:val="24"/>
              </w:rPr>
              <w:t>（列出可证明其实践能力与水平的检验标志、作学术报告要求）</w:t>
            </w:r>
          </w:p>
          <w:p>
            <w:pPr>
              <w:ind w:left="315"/>
              <w:rPr>
                <w:rFonts w:ascii="宋体" w:hAnsi="Courier New" w:cs="Courier New"/>
                <w:color w:val="000000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</w:tc>
      </w:tr>
    </w:tbl>
    <w:p>
      <w:pPr>
        <w:rPr>
          <w:rFonts w:eastAsia="楷体_GB2312"/>
          <w:b/>
          <w:color w:val="FF0000"/>
          <w:sz w:val="24"/>
        </w:rPr>
      </w:pPr>
    </w:p>
    <w:p>
      <w:pPr>
        <w:rPr>
          <w:rFonts w:eastAsia="楷体_GB2312"/>
          <w:b/>
          <w:color w:val="FF0000"/>
          <w:sz w:val="28"/>
          <w:szCs w:val="28"/>
        </w:rPr>
      </w:pPr>
      <w:r>
        <w:rPr>
          <w:rFonts w:hint="eastAsia" w:eastAsia="楷体_GB2312"/>
          <w:b/>
          <w:color w:val="FF0000"/>
          <w:sz w:val="28"/>
          <w:szCs w:val="28"/>
        </w:rPr>
        <w:t>七、学位论文及学术成果要求</w:t>
      </w:r>
    </w:p>
    <w:tbl>
      <w:tblPr>
        <w:tblStyle w:val="7"/>
        <w:tblW w:w="8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6" w:type="dxa"/>
          </w:tcPr>
          <w:p>
            <w:pPr>
              <w:rPr>
                <w:rFonts w:ascii="宋体" w:hAnsi="Courier New" w:cs="Courier New"/>
                <w:color w:val="000000"/>
                <w:sz w:val="24"/>
              </w:rPr>
            </w:pPr>
            <w:r>
              <w:rPr>
                <w:rFonts w:hint="eastAsia" w:ascii="宋体" w:hAnsi="Courier New" w:cs="Courier New"/>
                <w:color w:val="000000"/>
                <w:sz w:val="24"/>
              </w:rPr>
              <w:t>学位论文的基本要求：（包括学术水平、创造性成果及工作量等方面的要求）</w:t>
            </w:r>
          </w:p>
          <w:p>
            <w:pPr>
              <w:rPr>
                <w:rFonts w:ascii="宋体" w:hAnsi="Courier New" w:cs="Courier New"/>
                <w:color w:val="000000"/>
                <w:sz w:val="24"/>
              </w:rPr>
            </w:pPr>
            <w:r>
              <w:rPr>
                <w:rFonts w:hint="eastAsia" w:ascii="宋体" w:hAnsi="Courier New" w:cs="Courier New"/>
                <w:color w:val="000000"/>
                <w:sz w:val="24"/>
              </w:rPr>
              <w:t>（专业学位论文考核方式可采取工程设计、产品研发、应用研究、调研报告、项目</w:t>
            </w:r>
            <w:r>
              <w:rPr>
                <w:rFonts w:ascii="宋体" w:hAnsi="Courier New" w:cs="Courier New"/>
                <w:color w:val="000000"/>
                <w:sz w:val="24"/>
              </w:rPr>
              <w:t>/</w:t>
            </w:r>
            <w:r>
              <w:rPr>
                <w:rFonts w:hint="eastAsia" w:ascii="宋体" w:hAnsi="Courier New" w:cs="Courier New"/>
                <w:color w:val="000000"/>
                <w:sz w:val="24"/>
              </w:rPr>
              <w:t>工程管理等、典型案例等多种考核方式。）</w:t>
            </w: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  <w:p>
            <w:pPr>
              <w:rPr>
                <w:rFonts w:ascii="宋体" w:hAnsi="Courier New" w:cs="Courier New"/>
                <w:b/>
                <w:color w:val="000000"/>
                <w:sz w:val="28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其它说明：</w:t>
            </w: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872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本专业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领域</w:t>
            </w:r>
            <w:r>
              <w:rPr>
                <w:rFonts w:hint="eastAsia"/>
                <w:color w:val="000000"/>
                <w:lang w:eastAsia="zh-CN"/>
              </w:rPr>
              <w:t>）学位授权点负责人</w:t>
            </w:r>
            <w:r>
              <w:rPr>
                <w:rFonts w:hint="eastAsia"/>
                <w:color w:val="000000"/>
              </w:rPr>
              <w:t>（签名）：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</w:t>
            </w:r>
            <w:r>
              <w:rPr>
                <w:rFonts w:hint="eastAsia"/>
                <w:color w:val="000000"/>
                <w:lang w:eastAsia="zh-CN"/>
              </w:rPr>
              <w:t>培养单位</w:t>
            </w:r>
            <w:r>
              <w:rPr>
                <w:rFonts w:hint="eastAsia"/>
                <w:color w:val="000000"/>
              </w:rPr>
              <w:t>意见：</w:t>
            </w: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</w:rPr>
              <w:t>负责人（</w:t>
            </w:r>
            <w:r>
              <w:rPr>
                <w:rFonts w:hint="eastAsia"/>
                <w:color w:val="000000"/>
                <w:lang w:eastAsia="zh-CN"/>
              </w:rPr>
              <w:t>签章</w:t>
            </w:r>
            <w:r>
              <w:rPr>
                <w:rFonts w:hint="eastAsia"/>
                <w:color w:val="000000"/>
              </w:rPr>
              <w:t>）：</w:t>
            </w: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872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学位评定分委员会验收意见：</w:t>
            </w: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color w:val="000000"/>
              </w:rPr>
              <w:t>负责人（</w:t>
            </w:r>
            <w:r>
              <w:rPr>
                <w:rFonts w:hint="eastAsia"/>
                <w:color w:val="000000"/>
                <w:lang w:eastAsia="zh-CN"/>
              </w:rPr>
              <w:t>签章</w:t>
            </w:r>
            <w:r>
              <w:rPr>
                <w:rFonts w:hint="eastAsia"/>
                <w:color w:val="000000"/>
              </w:rPr>
              <w:t>）：</w:t>
            </w: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8720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研究生院审核意见：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         负责人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签章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rPr>
                <w:b/>
                <w:color w:val="000000"/>
                <w:sz w:val="3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  <w:sz w:val="21"/>
        <w:szCs w:val="21"/>
      </w:rPr>
    </w:pPr>
    <w:r>
      <w:rPr>
        <w:rFonts w:hint="eastAsia" w:hAnsi="宋体"/>
        <w:b/>
        <w:color w:val="000000"/>
        <w:sz w:val="21"/>
        <w:szCs w:val="21"/>
      </w:rPr>
      <w:t>《</w:t>
    </w:r>
    <w:r>
      <w:fldChar w:fldCharType="begin"/>
    </w:r>
    <w:r>
      <w:instrText xml:space="preserve"> HYPERLINK "http://gs.xmu.edu.cn/Uploads/file/20150603/20150603105146_65856.docx" \t "_blank" </w:instrText>
    </w:r>
    <w:r>
      <w:fldChar w:fldCharType="separate"/>
    </w:r>
    <w:r>
      <w:rPr>
        <w:rFonts w:hint="eastAsia" w:hAnsi="宋体"/>
        <w:b/>
        <w:color w:val="000000"/>
        <w:sz w:val="21"/>
        <w:szCs w:val="21"/>
      </w:rPr>
      <w:t>专业学位研究生培养方案</w:t>
    </w:r>
    <w:r>
      <w:rPr>
        <w:rFonts w:hint="eastAsia" w:hAnsi="宋体"/>
        <w:b/>
        <w:color w:val="000000"/>
        <w:sz w:val="21"/>
        <w:szCs w:val="21"/>
      </w:rPr>
      <w:fldChar w:fldCharType="end"/>
    </w:r>
    <w:r>
      <w:rPr>
        <w:rFonts w:hint="eastAsia" w:hAnsi="宋体"/>
        <w:b/>
        <w:color w:val="000000"/>
        <w:sz w:val="21"/>
        <w:szCs w:val="21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1F2"/>
    <w:rsid w:val="00043586"/>
    <w:rsid w:val="00084E0D"/>
    <w:rsid w:val="0014460D"/>
    <w:rsid w:val="008F5ACA"/>
    <w:rsid w:val="009B61F2"/>
    <w:rsid w:val="00BA46D5"/>
    <w:rsid w:val="00EE33F9"/>
    <w:rsid w:val="00F5780F"/>
    <w:rsid w:val="00F73755"/>
    <w:rsid w:val="01DB7B04"/>
    <w:rsid w:val="021211FD"/>
    <w:rsid w:val="02DA1F62"/>
    <w:rsid w:val="07173ADE"/>
    <w:rsid w:val="08C44066"/>
    <w:rsid w:val="0A951A6B"/>
    <w:rsid w:val="0C7026FE"/>
    <w:rsid w:val="0CDA11C8"/>
    <w:rsid w:val="13585C04"/>
    <w:rsid w:val="14C14028"/>
    <w:rsid w:val="18F57C78"/>
    <w:rsid w:val="1E6B2884"/>
    <w:rsid w:val="230258FD"/>
    <w:rsid w:val="316057EE"/>
    <w:rsid w:val="334A3AFE"/>
    <w:rsid w:val="33C66633"/>
    <w:rsid w:val="34D14AED"/>
    <w:rsid w:val="35836DE2"/>
    <w:rsid w:val="393552E2"/>
    <w:rsid w:val="3EB35976"/>
    <w:rsid w:val="3EF629E6"/>
    <w:rsid w:val="3F6307DB"/>
    <w:rsid w:val="40805CF4"/>
    <w:rsid w:val="41FB7C4E"/>
    <w:rsid w:val="4A893219"/>
    <w:rsid w:val="4BB53900"/>
    <w:rsid w:val="513B581E"/>
    <w:rsid w:val="542A76BA"/>
    <w:rsid w:val="54A5219A"/>
    <w:rsid w:val="55A554E8"/>
    <w:rsid w:val="58225793"/>
    <w:rsid w:val="58480619"/>
    <w:rsid w:val="5B9503A4"/>
    <w:rsid w:val="5BCB6CFA"/>
    <w:rsid w:val="5CD53F4D"/>
    <w:rsid w:val="5E747EB6"/>
    <w:rsid w:val="6292274F"/>
    <w:rsid w:val="65756591"/>
    <w:rsid w:val="65E36F2E"/>
    <w:rsid w:val="68564F01"/>
    <w:rsid w:val="6A87086B"/>
    <w:rsid w:val="6E041A81"/>
    <w:rsid w:val="6F75329C"/>
    <w:rsid w:val="708D23B1"/>
    <w:rsid w:val="720763F9"/>
    <w:rsid w:val="729B2841"/>
    <w:rsid w:val="73E92FC5"/>
    <w:rsid w:val="74857842"/>
    <w:rsid w:val="766163DD"/>
    <w:rsid w:val="7BFF743B"/>
    <w:rsid w:val="7DCE3E79"/>
    <w:rsid w:val="7E030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240" w:lineRule="atLeast"/>
      <w:jc w:val="center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9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11">
    <w:name w:val="纯文本1"/>
    <w:basedOn w:val="1"/>
    <w:qFormat/>
    <w:uiPriority w:val="99"/>
    <w:pPr>
      <w:suppressAutoHyphens/>
    </w:pPr>
    <w:rPr>
      <w:rFonts w:ascii="宋体" w:hAnsi="宋体" w:cs="Courier New"/>
      <w:kern w:val="1"/>
      <w:szCs w:val="21"/>
      <w:lang w:eastAsia="ar-SA"/>
    </w:rPr>
  </w:style>
  <w:style w:type="character" w:customStyle="1" w:styleId="12">
    <w:name w:val="页脚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2E9F8-4444-4EC6-B038-F19BAF505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366</Words>
  <Characters>2088</Characters>
  <Lines>17</Lines>
  <Paragraphs>4</Paragraphs>
  <ScaleCrop>false</ScaleCrop>
  <LinksUpToDate>false</LinksUpToDate>
  <CharactersWithSpaces>2450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2017-06-05T11:05:00Z</dcterms:created>
  <dc:creator>hp</dc:creator>
  <cp:lastModifiedBy>Dell</cp:lastModifiedBy>
  <dcterms:modified xsi:type="dcterms:W3CDTF">2017-06-06T09:19:10Z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